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DE868" w14:textId="77777777" w:rsidR="0099656E" w:rsidRPr="00955648" w:rsidRDefault="006E2367" w:rsidP="006E2367">
      <w:pPr>
        <w:pStyle w:val="Tekstpodstawowy21"/>
        <w:spacing w:line="360" w:lineRule="auto"/>
        <w:jc w:val="right"/>
        <w:rPr>
          <w:rFonts w:ascii="Calibri" w:hAnsi="Calibri" w:cs="Calibri"/>
          <w:sz w:val="22"/>
          <w:szCs w:val="22"/>
        </w:rPr>
      </w:pPr>
      <w:r w:rsidRPr="00955648">
        <w:rPr>
          <w:rFonts w:ascii="Calibri" w:hAnsi="Calibri" w:cs="Calibri"/>
          <w:sz w:val="22"/>
          <w:szCs w:val="22"/>
        </w:rPr>
        <w:t>Załącznik nr 1 do Umowy</w:t>
      </w:r>
    </w:p>
    <w:p w14:paraId="0369B5AD" w14:textId="77777777" w:rsidR="00D849D0" w:rsidRPr="00955648" w:rsidRDefault="00D849D0" w:rsidP="006E2367">
      <w:pPr>
        <w:pStyle w:val="Tekstpodstawowy21"/>
        <w:spacing w:line="360" w:lineRule="auto"/>
        <w:jc w:val="right"/>
        <w:rPr>
          <w:rFonts w:ascii="Calibri" w:hAnsi="Calibri" w:cs="Calibri"/>
          <w:strike/>
          <w:sz w:val="22"/>
          <w:szCs w:val="22"/>
        </w:rPr>
      </w:pPr>
    </w:p>
    <w:p w14:paraId="096B63CD" w14:textId="77777777" w:rsidR="0099656E" w:rsidRPr="00955648" w:rsidRDefault="0035476B" w:rsidP="0035476B">
      <w:pPr>
        <w:pStyle w:val="Tekstpodstawowy21"/>
        <w:spacing w:line="360" w:lineRule="auto"/>
        <w:jc w:val="center"/>
        <w:rPr>
          <w:rFonts w:ascii="Calibri" w:hAnsi="Calibri" w:cs="Calibri"/>
          <w:bCs/>
          <w:sz w:val="22"/>
          <w:szCs w:val="22"/>
        </w:rPr>
      </w:pPr>
      <w:r w:rsidRPr="00955648">
        <w:rPr>
          <w:rFonts w:ascii="Calibri" w:hAnsi="Calibri" w:cs="Calibri"/>
          <w:bCs/>
          <w:sz w:val="22"/>
          <w:szCs w:val="22"/>
        </w:rPr>
        <w:t>Definicje i Interpretacja</w:t>
      </w:r>
    </w:p>
    <w:p w14:paraId="77E05A8E" w14:textId="77777777" w:rsidR="0099656E" w:rsidRPr="00955648" w:rsidRDefault="0099656E" w:rsidP="009F64A0">
      <w:pPr>
        <w:pStyle w:val="Tekstpodstawowy21"/>
        <w:spacing w:line="360" w:lineRule="auto"/>
        <w:rPr>
          <w:rFonts w:ascii="Calibri" w:hAnsi="Calibri" w:cs="Calibri"/>
          <w:b w:val="0"/>
          <w:sz w:val="22"/>
          <w:szCs w:val="22"/>
        </w:rPr>
      </w:pPr>
    </w:p>
    <w:p w14:paraId="74FEE46E" w14:textId="77777777" w:rsidR="006E2367" w:rsidRPr="00955648" w:rsidRDefault="006E2367" w:rsidP="006E2367">
      <w:pPr>
        <w:suppressAutoHyphens/>
        <w:spacing w:after="0"/>
        <w:jc w:val="both"/>
        <w:rPr>
          <w:rFonts w:eastAsia="Times New Roman" w:cs="Calibri"/>
          <w:lang w:eastAsia="pl-PL"/>
        </w:rPr>
      </w:pPr>
      <w:r w:rsidRPr="00955648">
        <w:rPr>
          <w:rFonts w:eastAsia="Times New Roman" w:cs="Calibri"/>
          <w:lang w:eastAsia="pl-PL"/>
        </w:rPr>
        <w:t>Pojęcia i zwroty niezdefiniowane w treści niniejszej umowy należy interpretować następująco:</w:t>
      </w:r>
    </w:p>
    <w:p w14:paraId="718E510F" w14:textId="77777777" w:rsidR="003F03A5" w:rsidRPr="00955648" w:rsidRDefault="006E2367" w:rsidP="003F03A5">
      <w:pPr>
        <w:numPr>
          <w:ilvl w:val="0"/>
          <w:numId w:val="4"/>
        </w:numPr>
        <w:spacing w:before="120" w:after="120"/>
        <w:jc w:val="both"/>
        <w:rPr>
          <w:rFonts w:eastAsia="Times New Roman" w:cs="Calibri"/>
          <w:lang w:eastAsia="pl-PL"/>
        </w:rPr>
      </w:pPr>
      <w:r w:rsidRPr="00955648">
        <w:rPr>
          <w:rFonts w:eastAsia="Times New Roman" w:cs="Calibri"/>
          <w:b/>
          <w:lang w:eastAsia="pl-PL"/>
        </w:rPr>
        <w:t>Administrator</w:t>
      </w:r>
      <w:r w:rsidRPr="00955648">
        <w:rPr>
          <w:rFonts w:eastAsia="Times New Roman" w:cs="Calibri"/>
          <w:lang w:eastAsia="pl-PL"/>
        </w:rPr>
        <w:t xml:space="preserve"> </w:t>
      </w:r>
      <w:r w:rsidR="003F03A5" w:rsidRPr="00955648">
        <w:rPr>
          <w:rFonts w:eastAsia="Times New Roman" w:cs="Calibri"/>
          <w:b/>
          <w:bCs/>
          <w:lang w:eastAsia="pl-PL"/>
        </w:rPr>
        <w:t>Kontraktu</w:t>
      </w:r>
      <w:r w:rsidR="003F03A5" w:rsidRPr="00955648">
        <w:rPr>
          <w:rFonts w:eastAsia="Times New Roman" w:cs="Calibri"/>
          <w:lang w:eastAsia="pl-PL"/>
        </w:rPr>
        <w:t xml:space="preserve"> –</w:t>
      </w:r>
      <w:r w:rsidRPr="00955648">
        <w:rPr>
          <w:rFonts w:eastAsia="Times New Roman" w:cs="Calibri"/>
          <w:lang w:eastAsia="pl-PL"/>
        </w:rPr>
        <w:t xml:space="preserve"> wyznaczona przez </w:t>
      </w:r>
      <w:r w:rsidR="003F03A5" w:rsidRPr="00955648">
        <w:rPr>
          <w:rFonts w:eastAsia="Times New Roman" w:cs="Calibri"/>
          <w:lang w:eastAsia="pl-PL"/>
        </w:rPr>
        <w:t>każdą ze Stron Umowy</w:t>
      </w:r>
      <w:r w:rsidRPr="00955648">
        <w:rPr>
          <w:rFonts w:eastAsia="Times New Roman" w:cs="Calibri"/>
          <w:lang w:eastAsia="pl-PL"/>
        </w:rPr>
        <w:t xml:space="preserve"> osoba fizyczna odpowiedzialna </w:t>
      </w:r>
      <w:r w:rsidR="003F03A5" w:rsidRPr="00955648">
        <w:rPr>
          <w:rFonts w:eastAsia="Times New Roman" w:cs="Calibri"/>
          <w:lang w:eastAsia="pl-PL"/>
        </w:rPr>
        <w:t xml:space="preserve">za kontakt pomiędzy Stronami oraz posiadająca pełne umocowanie do działania w imieniu Strony dla osiągnięcia wszystkich celów Umowy; </w:t>
      </w:r>
    </w:p>
    <w:p w14:paraId="7BC8AB73" w14:textId="77777777" w:rsidR="0099710D" w:rsidRPr="00955648" w:rsidRDefault="0099710D" w:rsidP="003F03A5">
      <w:pPr>
        <w:numPr>
          <w:ilvl w:val="0"/>
          <w:numId w:val="4"/>
        </w:numPr>
        <w:spacing w:before="120" w:after="120"/>
        <w:jc w:val="both"/>
        <w:rPr>
          <w:rFonts w:eastAsia="Times New Roman" w:cs="Calibri"/>
          <w:lang w:eastAsia="pl-PL"/>
        </w:rPr>
      </w:pPr>
      <w:r w:rsidRPr="00955648">
        <w:rPr>
          <w:rFonts w:eastAsia="Times New Roman" w:cs="Calibri"/>
          <w:b/>
          <w:lang w:eastAsia="pl-PL"/>
        </w:rPr>
        <w:t>Akt Wandalizmu</w:t>
      </w:r>
      <w:r w:rsidRPr="00955648">
        <w:rPr>
          <w:rFonts w:eastAsia="Times New Roman" w:cs="Calibri"/>
          <w:lang w:eastAsia="pl-PL"/>
        </w:rPr>
        <w:t xml:space="preserve"> – zdarzenie będące działaniem osoby trzeciej, mające na celu i skutkujące uszkodzeniem lub zniszczeniem Obiektu lub jego części; </w:t>
      </w:r>
    </w:p>
    <w:p w14:paraId="5C66567C" w14:textId="77777777" w:rsidR="00C911A4" w:rsidRPr="00955648" w:rsidRDefault="00C911A4" w:rsidP="00BF439E">
      <w:pPr>
        <w:pStyle w:val="Akapitzlist"/>
        <w:numPr>
          <w:ilvl w:val="0"/>
          <w:numId w:val="4"/>
        </w:numPr>
        <w:spacing w:before="120" w:after="0"/>
        <w:contextualSpacing/>
        <w:jc w:val="both"/>
        <w:rPr>
          <w:rFonts w:eastAsia="Times New Roman" w:cs="Calibri"/>
          <w:lang w:eastAsia="pl-PL"/>
        </w:rPr>
      </w:pPr>
      <w:r w:rsidRPr="00955648">
        <w:rPr>
          <w:rFonts w:eastAsia="Times New Roman" w:cs="Calibri"/>
          <w:b/>
          <w:bCs/>
          <w:lang w:eastAsia="pl-PL"/>
        </w:rPr>
        <w:t>Audyt</w:t>
      </w:r>
      <w:r w:rsidRPr="00955648">
        <w:rPr>
          <w:rFonts w:eastAsia="Times New Roman" w:cs="Calibri"/>
          <w:lang w:eastAsia="pl-PL"/>
        </w:rPr>
        <w:t xml:space="preserve"> </w:t>
      </w:r>
      <w:r w:rsidR="008247A0" w:rsidRPr="00955648">
        <w:rPr>
          <w:rFonts w:eastAsia="Times New Roman" w:cs="Calibri"/>
          <w:lang w:eastAsia="pl-PL"/>
        </w:rPr>
        <w:t>–</w:t>
      </w:r>
      <w:r w:rsidRPr="00955648">
        <w:rPr>
          <w:rFonts w:eastAsia="Times New Roman" w:cs="Calibri"/>
          <w:lang w:eastAsia="pl-PL"/>
        </w:rPr>
        <w:t xml:space="preserve"> </w:t>
      </w:r>
      <w:bookmarkStart w:id="0" w:name="_Ref519861213"/>
      <w:bookmarkStart w:id="1" w:name="_Ref18669805"/>
      <w:r w:rsidR="008247A0" w:rsidRPr="00955648">
        <w:rPr>
          <w:rFonts w:eastAsia="Times New Roman" w:cs="Calibri"/>
          <w:lang w:eastAsia="pl-PL"/>
        </w:rPr>
        <w:t>czynności dokonywane na koszt Podmiotu Publicznego n</w:t>
      </w:r>
      <w:r w:rsidR="008247A0" w:rsidRPr="00955648">
        <w:rPr>
          <w:rFonts w:cs="Calibri"/>
        </w:rPr>
        <w:t xml:space="preserve">a 24 miesiące przed Datą Zakończenia Umowy w celu ustalenia zakresu prac i czynności koniecznych do doprowadzenia Obiektów do stanu pozwalającego na dalsze ich użytkowanie, niepogorszonym w stosunku do stanu z dnia odbioru Robót Budowlanych przy uwzględnieniu zapisów zawartych w PFU, z uwzględnieniem normalnego zużycia i prac wykonanych w zakresie Utrzymania do Daty Zakończenia Umowy. </w:t>
      </w:r>
      <w:bookmarkEnd w:id="0"/>
      <w:bookmarkEnd w:id="1"/>
      <w:r w:rsidR="008247A0" w:rsidRPr="00955648">
        <w:rPr>
          <w:rFonts w:cs="Calibri"/>
        </w:rPr>
        <w:t xml:space="preserve">Zakres Audytu powinien obejmować takie kwestie jak stan techniczny wykonanych urządzeń, stopień korozji, stan osłon, pomiar nietężenia oświetlenia, poprawność działania systemu sterowania oraz ewentualne uszkodzenia mechaniczne Obiektów; </w:t>
      </w:r>
    </w:p>
    <w:p w14:paraId="5D10A8B0" w14:textId="77777777" w:rsidR="00BF439E" w:rsidRPr="00955648" w:rsidRDefault="00BF439E" w:rsidP="00BF439E">
      <w:pPr>
        <w:numPr>
          <w:ilvl w:val="0"/>
          <w:numId w:val="4"/>
        </w:numPr>
        <w:spacing w:before="120" w:after="0"/>
        <w:jc w:val="both"/>
        <w:rPr>
          <w:rFonts w:eastAsia="Times New Roman" w:cs="Calibri"/>
          <w:lang w:eastAsia="pl-PL"/>
        </w:rPr>
      </w:pPr>
      <w:r w:rsidRPr="00955648">
        <w:rPr>
          <w:rFonts w:eastAsia="Times New Roman" w:cs="Calibri"/>
          <w:b/>
          <w:lang w:eastAsia="pl-PL"/>
        </w:rPr>
        <w:t xml:space="preserve">Awaria </w:t>
      </w:r>
      <w:r w:rsidRPr="00955648">
        <w:rPr>
          <w:rFonts w:eastAsia="Times New Roman" w:cs="Calibri"/>
          <w:lang w:eastAsia="pl-PL"/>
        </w:rPr>
        <w:t>– częściowe lub całkowite uszkodzenie, niesprawność lub niezdatność do użytku jakiejkolwiek części Obiektu, w tym znajdujących się w nim urządzeń,</w:t>
      </w:r>
      <w:r w:rsidR="00BC6D37" w:rsidRPr="00955648">
        <w:rPr>
          <w:rFonts w:eastAsia="Times New Roman" w:cs="Calibri"/>
          <w:lang w:eastAsia="pl-PL"/>
        </w:rPr>
        <w:t xml:space="preserve"> instalacji oraz wyposażenia;</w:t>
      </w:r>
    </w:p>
    <w:p w14:paraId="63245961" w14:textId="77777777" w:rsidR="0099710D" w:rsidRPr="00955648" w:rsidRDefault="0099710D" w:rsidP="0099710D">
      <w:pPr>
        <w:numPr>
          <w:ilvl w:val="0"/>
          <w:numId w:val="4"/>
        </w:numPr>
        <w:spacing w:before="120" w:after="0"/>
        <w:jc w:val="both"/>
        <w:rPr>
          <w:rFonts w:eastAsia="Times New Roman" w:cs="Calibri"/>
          <w:lang w:eastAsia="pl-PL"/>
        </w:rPr>
      </w:pPr>
      <w:r w:rsidRPr="00955648">
        <w:rPr>
          <w:rFonts w:eastAsia="Times New Roman" w:cs="Calibri"/>
          <w:b/>
          <w:lang w:eastAsia="pl-PL"/>
        </w:rPr>
        <w:t>Całkowity Brak Dostępności</w:t>
      </w:r>
      <w:r w:rsidRPr="00955648">
        <w:rPr>
          <w:rFonts w:eastAsia="Times New Roman" w:cs="Calibri"/>
          <w:lang w:eastAsia="pl-PL"/>
        </w:rPr>
        <w:t xml:space="preserve"> - całkowity brak możliwości korzystania z Obiektu zgodnie z jego przeznaczeniem, który wystąpi na skutek Awarii lub zaniechań Partnera Prywatnego. Realizacja planowanych Remontów i Napraw oraz usuwanie skutków Aktów Wandalizmu i użytkowania Obiektu i/lub jego Wyposażenia niezgodnie z instrukcjami użytkowania nie będzie stanowić Całkowitego Braku Dostępności;</w:t>
      </w:r>
    </w:p>
    <w:p w14:paraId="0485B83B" w14:textId="77777777" w:rsidR="00BC6D37" w:rsidRPr="00955648" w:rsidRDefault="00BC6D37" w:rsidP="00BF439E">
      <w:pPr>
        <w:numPr>
          <w:ilvl w:val="0"/>
          <w:numId w:val="4"/>
        </w:numPr>
        <w:spacing w:before="120" w:after="0"/>
        <w:jc w:val="both"/>
        <w:rPr>
          <w:rFonts w:eastAsia="Times New Roman" w:cs="Calibri"/>
          <w:lang w:eastAsia="pl-PL"/>
        </w:rPr>
      </w:pPr>
      <w:r w:rsidRPr="00955648">
        <w:rPr>
          <w:rFonts w:eastAsia="Times New Roman" w:cs="Calibri"/>
          <w:b/>
          <w:lang w:eastAsia="pl-PL"/>
        </w:rPr>
        <w:t xml:space="preserve">Cena Oferty </w:t>
      </w:r>
      <w:r w:rsidRPr="00955648">
        <w:rPr>
          <w:rFonts w:eastAsia="Times New Roman" w:cs="Calibri"/>
          <w:lang w:eastAsia="pl-PL"/>
        </w:rPr>
        <w:t>– całkowite Wynagrodzenie Partnera Prywatnego netto z tytułu realizacji Przedsięwzięcia, powiększone o VAT, wskazane w Ofercie złożonej przez Partnera Prywatnego;</w:t>
      </w:r>
    </w:p>
    <w:p w14:paraId="18F968AE" w14:textId="77777777" w:rsidR="0099710D" w:rsidRPr="00955648" w:rsidRDefault="0099710D" w:rsidP="00262F9F">
      <w:pPr>
        <w:numPr>
          <w:ilvl w:val="0"/>
          <w:numId w:val="4"/>
        </w:numPr>
        <w:spacing w:before="120" w:after="0"/>
        <w:jc w:val="both"/>
        <w:rPr>
          <w:rFonts w:eastAsia="Times New Roman" w:cs="Calibri"/>
          <w:lang w:eastAsia="pl-PL"/>
        </w:rPr>
      </w:pPr>
      <w:r w:rsidRPr="00955648">
        <w:rPr>
          <w:rFonts w:eastAsia="Times New Roman" w:cs="Calibri"/>
          <w:b/>
          <w:lang w:eastAsia="pl-PL"/>
        </w:rPr>
        <w:t xml:space="preserve">Częściowy Brak Dostępności </w:t>
      </w:r>
      <w:r w:rsidRPr="00955648">
        <w:rPr>
          <w:rFonts w:eastAsia="Times New Roman" w:cs="Calibri"/>
          <w:lang w:eastAsia="pl-PL"/>
        </w:rPr>
        <w:t>- brak możliwości korzystania z części Obiektu niezbędnej do jego funkcjonowania na skutek wystąpienia Awarii lub zaniechań Partnera Prywatnego. Realizacja planowanych Remontów i Napraw oraz usuwanie skutków Aktów Wandalizmu i użytkowania Obiektu i/lub jego Wyposażenia niezgodnie z instrukcjami użytkowania nie będzie stanowić Częściowego Braku Dostępności;</w:t>
      </w:r>
    </w:p>
    <w:p w14:paraId="3331AC5C" w14:textId="77777777" w:rsidR="006A6022" w:rsidRPr="00955648" w:rsidRDefault="006A6022" w:rsidP="006E2367">
      <w:pPr>
        <w:numPr>
          <w:ilvl w:val="0"/>
          <w:numId w:val="4"/>
        </w:numPr>
        <w:spacing w:before="120" w:after="0"/>
        <w:jc w:val="both"/>
        <w:rPr>
          <w:rFonts w:eastAsia="Times New Roman" w:cs="Calibri"/>
          <w:lang w:eastAsia="pl-PL"/>
        </w:rPr>
      </w:pPr>
      <w:r w:rsidRPr="00955648">
        <w:rPr>
          <w:rFonts w:cs="Calibri"/>
          <w:b/>
          <w:spacing w:val="4"/>
        </w:rPr>
        <w:t>Część Inwestycyjna Wynagrodzenia (CIW) -</w:t>
      </w:r>
      <w:r w:rsidRPr="00955648">
        <w:rPr>
          <w:rFonts w:cs="Calibri"/>
          <w:spacing w:val="4"/>
        </w:rPr>
        <w:t xml:space="preserve"> obejmująca Koszty Inwestycyjne, poniesione w ramach realizacji Etapu Przygotowawczego i Etapu Inwestycyjnego, uregulowana w pkt 6.3.1. Umowy;</w:t>
      </w:r>
    </w:p>
    <w:p w14:paraId="13AE1466" w14:textId="77777777" w:rsidR="006A6022" w:rsidRPr="00955648" w:rsidRDefault="006A6022" w:rsidP="006E2367">
      <w:pPr>
        <w:numPr>
          <w:ilvl w:val="0"/>
          <w:numId w:val="4"/>
        </w:numPr>
        <w:spacing w:before="120" w:after="0"/>
        <w:jc w:val="both"/>
        <w:rPr>
          <w:rFonts w:eastAsia="Times New Roman" w:cs="Calibri"/>
          <w:lang w:eastAsia="pl-PL"/>
        </w:rPr>
      </w:pPr>
      <w:r w:rsidRPr="00955648">
        <w:rPr>
          <w:rFonts w:cs="Calibri"/>
          <w:b/>
          <w:spacing w:val="4"/>
        </w:rPr>
        <w:lastRenderedPageBreak/>
        <w:t>Część Utrzymaniowa Wynagrodzenia (CUW)</w:t>
      </w:r>
      <w:r w:rsidRPr="00955648">
        <w:rPr>
          <w:rFonts w:cs="Calibri"/>
          <w:spacing w:val="4"/>
        </w:rPr>
        <w:t xml:space="preserve"> - obejmująca koszty Finansowania, Utrzymania poniesione w ramach realizacji Etapu Utrzymania uregulowana w pkt 6.3.2. Umowy;</w:t>
      </w:r>
    </w:p>
    <w:p w14:paraId="185151C4" w14:textId="77777777" w:rsidR="00526DE4" w:rsidRPr="00955648" w:rsidRDefault="005E3AF0" w:rsidP="006E2367">
      <w:pPr>
        <w:numPr>
          <w:ilvl w:val="0"/>
          <w:numId w:val="4"/>
        </w:numPr>
        <w:spacing w:before="120" w:after="0"/>
        <w:jc w:val="both"/>
        <w:rPr>
          <w:rFonts w:eastAsia="Times New Roman" w:cs="Calibri"/>
          <w:lang w:eastAsia="pl-PL"/>
        </w:rPr>
      </w:pPr>
      <w:r w:rsidRPr="00955648">
        <w:rPr>
          <w:rFonts w:eastAsia="Times New Roman" w:cs="Calibri"/>
          <w:b/>
          <w:lang w:eastAsia="pl-PL"/>
        </w:rPr>
        <w:t xml:space="preserve">Data Zawarcia </w:t>
      </w:r>
      <w:r w:rsidR="006564BE" w:rsidRPr="00955648">
        <w:rPr>
          <w:rFonts w:eastAsia="Times New Roman" w:cs="Calibri"/>
          <w:b/>
          <w:lang w:eastAsia="pl-PL"/>
        </w:rPr>
        <w:t xml:space="preserve">Umowy </w:t>
      </w:r>
      <w:r w:rsidRPr="00955648">
        <w:rPr>
          <w:rFonts w:eastAsia="Times New Roman" w:cs="Calibri"/>
          <w:lang w:eastAsia="pl-PL"/>
        </w:rPr>
        <w:t>– oznacza dzień podpisani</w:t>
      </w:r>
      <w:r w:rsidR="00DD35CD" w:rsidRPr="00955648">
        <w:rPr>
          <w:rFonts w:eastAsia="Times New Roman" w:cs="Calibri"/>
          <w:lang w:eastAsia="pl-PL"/>
        </w:rPr>
        <w:t>a</w:t>
      </w:r>
      <w:r w:rsidRPr="00955648">
        <w:rPr>
          <w:rFonts w:eastAsia="Times New Roman" w:cs="Calibri"/>
          <w:lang w:eastAsia="pl-PL"/>
        </w:rPr>
        <w:t xml:space="preserve"> niniejszej U</w:t>
      </w:r>
      <w:r w:rsidR="00526DE4" w:rsidRPr="00955648">
        <w:rPr>
          <w:rFonts w:eastAsia="Times New Roman" w:cs="Calibri"/>
          <w:lang w:eastAsia="pl-PL"/>
        </w:rPr>
        <w:t>mowy;</w:t>
      </w:r>
    </w:p>
    <w:p w14:paraId="02BA9556" w14:textId="77777777" w:rsidR="00262F9F" w:rsidRPr="00955648" w:rsidRDefault="00D74CDE" w:rsidP="002314DE">
      <w:pPr>
        <w:numPr>
          <w:ilvl w:val="0"/>
          <w:numId w:val="4"/>
        </w:numPr>
        <w:spacing w:before="120" w:after="120"/>
        <w:jc w:val="both"/>
        <w:rPr>
          <w:rFonts w:eastAsia="Times New Roman" w:cs="Calibri"/>
          <w:lang w:eastAsia="pl-PL"/>
        </w:rPr>
      </w:pPr>
      <w:r w:rsidRPr="00955648">
        <w:rPr>
          <w:rFonts w:eastAsia="Times New Roman" w:cs="Calibri"/>
          <w:b/>
          <w:lang w:eastAsia="pl-PL"/>
        </w:rPr>
        <w:t xml:space="preserve">Data Zakończenia Umowy </w:t>
      </w:r>
      <w:r w:rsidR="00D2585A" w:rsidRPr="00955648">
        <w:rPr>
          <w:rFonts w:eastAsia="Times New Roman" w:cs="Calibri"/>
          <w:b/>
          <w:lang w:eastAsia="pl-PL"/>
        </w:rPr>
        <w:t>–</w:t>
      </w:r>
      <w:r w:rsidR="00F91E60" w:rsidRPr="00955648">
        <w:rPr>
          <w:rFonts w:eastAsia="Times New Roman" w:cs="Calibri"/>
          <w:lang w:eastAsia="pl-PL"/>
        </w:rPr>
        <w:t xml:space="preserve"> data zakończenia Umowy na skutek jej rozwiązania, odstąpienia od niej przez którąkolwiek ze Stron lub upływu okresu jej obowiązywania</w:t>
      </w:r>
    </w:p>
    <w:p w14:paraId="4AFFC282" w14:textId="53F04096" w:rsidR="005E3AF0" w:rsidRPr="00955648" w:rsidRDefault="00D2585A" w:rsidP="002314DE">
      <w:pPr>
        <w:numPr>
          <w:ilvl w:val="0"/>
          <w:numId w:val="4"/>
        </w:numPr>
        <w:spacing w:after="120"/>
        <w:jc w:val="both"/>
        <w:rPr>
          <w:rFonts w:eastAsia="Times New Roman" w:cs="Calibri"/>
          <w:lang w:eastAsia="pl-PL"/>
        </w:rPr>
      </w:pPr>
      <w:r w:rsidRPr="00955648">
        <w:rPr>
          <w:rFonts w:eastAsia="Times New Roman" w:cs="Calibri"/>
          <w:lang w:eastAsia="pl-PL"/>
        </w:rPr>
        <w:t xml:space="preserve"> </w:t>
      </w:r>
      <w:r w:rsidR="00262F9F" w:rsidRPr="00955648">
        <w:rPr>
          <w:rFonts w:eastAsia="Times New Roman" w:cs="Calibri"/>
          <w:b/>
          <w:lang w:eastAsia="pl-PL"/>
        </w:rPr>
        <w:t xml:space="preserve">Dodatkowe Koszty </w:t>
      </w:r>
      <w:r w:rsidR="00262F9F" w:rsidRPr="00955648">
        <w:rPr>
          <w:rFonts w:eastAsia="Times New Roman" w:cs="Calibri"/>
          <w:lang w:eastAsia="pl-PL"/>
        </w:rPr>
        <w:t>- niedające się przewidzieć w momencie składania Oferty przez Partnera Prywatnego uzasadnione wydatki lub koszty, faktycznie i w sposób racjonalny poniesione przez Partnera Prywatnego w związku z realizacją Umowy, powstałe jako bezpośredni skutek wystąpienia Zdarzenia Nadzwyczajnego, poniesione w celu zapewnienia realizacji Przedsięwzięcia w sposób zgodny z Umową;</w:t>
      </w:r>
    </w:p>
    <w:p w14:paraId="50D5CCE5" w14:textId="77777777" w:rsidR="00A42C74" w:rsidRPr="00955648" w:rsidRDefault="00A42C74" w:rsidP="002314DE">
      <w:pPr>
        <w:numPr>
          <w:ilvl w:val="0"/>
          <w:numId w:val="4"/>
        </w:numPr>
        <w:spacing w:before="120" w:after="0"/>
        <w:jc w:val="both"/>
        <w:rPr>
          <w:rFonts w:eastAsia="Times New Roman" w:cs="Calibri"/>
          <w:bCs/>
          <w:lang w:eastAsia="pl-PL"/>
        </w:rPr>
      </w:pPr>
      <w:r w:rsidRPr="00955648">
        <w:rPr>
          <w:rFonts w:eastAsia="Times New Roman" w:cs="Calibri"/>
          <w:b/>
          <w:bCs/>
          <w:lang w:eastAsia="pl-PL"/>
        </w:rPr>
        <w:t>Dokumentacja</w:t>
      </w:r>
      <w:r w:rsidRPr="00955648">
        <w:rPr>
          <w:rFonts w:eastAsia="Times New Roman" w:cs="Calibri"/>
          <w:bCs/>
          <w:lang w:eastAsia="pl-PL"/>
        </w:rPr>
        <w:t xml:space="preserve"> – Dokumentacja Projektowa i Koncepcja Projektowa, która ma zostać sporządzona przez Partnera Prywatnego na Etapie Inwestycyjnym Umowy</w:t>
      </w:r>
    </w:p>
    <w:p w14:paraId="35224B9A" w14:textId="5B1E411B" w:rsidR="006E2367" w:rsidRPr="00955648" w:rsidRDefault="00B75F5C" w:rsidP="002314DE">
      <w:pPr>
        <w:numPr>
          <w:ilvl w:val="0"/>
          <w:numId w:val="4"/>
        </w:numPr>
        <w:spacing w:before="120" w:after="0"/>
        <w:jc w:val="both"/>
        <w:rPr>
          <w:rFonts w:eastAsia="Times New Roman" w:cs="Calibri"/>
          <w:bCs/>
          <w:lang w:eastAsia="pl-PL"/>
        </w:rPr>
      </w:pPr>
      <w:r w:rsidRPr="00955648">
        <w:rPr>
          <w:rFonts w:eastAsia="Times New Roman" w:cs="Calibri"/>
          <w:b/>
          <w:lang w:eastAsia="pl-PL"/>
        </w:rPr>
        <w:t>D</w:t>
      </w:r>
      <w:r w:rsidR="006E2367" w:rsidRPr="00955648">
        <w:rPr>
          <w:rFonts w:eastAsia="Times New Roman" w:cs="Calibri"/>
          <w:b/>
          <w:lang w:eastAsia="pl-PL"/>
        </w:rPr>
        <w:t>okumentacja</w:t>
      </w:r>
      <w:bookmarkStart w:id="2" w:name="_Hlk506478834"/>
      <w:r w:rsidR="006E015C" w:rsidRPr="00955648">
        <w:rPr>
          <w:rFonts w:eastAsia="Times New Roman" w:cs="Calibri"/>
          <w:b/>
          <w:lang w:eastAsia="pl-PL"/>
        </w:rPr>
        <w:t xml:space="preserve"> P</w:t>
      </w:r>
      <w:r w:rsidR="00E47CC4" w:rsidRPr="00955648">
        <w:rPr>
          <w:rFonts w:eastAsia="Times New Roman" w:cs="Calibri"/>
          <w:b/>
          <w:lang w:eastAsia="pl-PL"/>
        </w:rPr>
        <w:t>rojektowa</w:t>
      </w:r>
      <w:r w:rsidR="00064DE8" w:rsidRPr="00955648">
        <w:rPr>
          <w:rFonts w:eastAsia="Times New Roman" w:cs="Calibri"/>
          <w:b/>
          <w:lang w:eastAsia="pl-PL"/>
        </w:rPr>
        <w:t xml:space="preserve"> (zwana dalej Projektami) </w:t>
      </w:r>
      <w:r w:rsidR="00E47CC4" w:rsidRPr="00955648">
        <w:rPr>
          <w:rFonts w:eastAsia="Times New Roman" w:cs="Calibri"/>
          <w:b/>
          <w:lang w:eastAsia="pl-PL"/>
        </w:rPr>
        <w:t xml:space="preserve">- </w:t>
      </w:r>
      <w:bookmarkEnd w:id="2"/>
      <w:r w:rsidR="0050133F" w:rsidRPr="00955648">
        <w:rPr>
          <w:rFonts w:cs="Calibri"/>
          <w:lang w:eastAsia="pl-PL"/>
        </w:rPr>
        <w:t>– należy przez to rozumieć dokumentacje projektowo – wykonawcze opracowane zgodnie z treścią § 4 ust. 1 Rozporządzenia Ministra Infrastruktury z dnia 2 września 2004 roku w sprawie szczegółowego zakresu i formy dokumentacji projektowej, specyfikacji technicznych wykonania i odbioru robót budowlanych oraz zgodnie z PFU,</w:t>
      </w:r>
      <w:r w:rsidR="002314DE" w:rsidRPr="00955648">
        <w:rPr>
          <w:rFonts w:cs="Calibri"/>
          <w:lang w:eastAsia="pl-PL"/>
        </w:rPr>
        <w:t xml:space="preserve"> </w:t>
      </w:r>
      <w:r w:rsidR="0050133F" w:rsidRPr="00955648">
        <w:rPr>
          <w:rFonts w:cs="Calibri"/>
          <w:lang w:eastAsia="pl-PL"/>
        </w:rPr>
        <w:t xml:space="preserve">uzgodnieniami z Zamawiającym, obowiązującymi przepisami, normami oraz zgodnie ze sztuką budowlaną, w zakresie niezbędnym do realizacji przedmiotu Umowy, </w:t>
      </w:r>
      <w:r w:rsidR="0050133F" w:rsidRPr="00955648">
        <w:rPr>
          <w:rFonts w:cs="Calibri"/>
          <w:bCs/>
          <w:lang w:eastAsia="pl-PL"/>
        </w:rPr>
        <w:t xml:space="preserve">pozwalającym na uzyskanie </w:t>
      </w:r>
      <w:r w:rsidR="008F6831" w:rsidRPr="00955648">
        <w:rPr>
          <w:rFonts w:cs="Calibri"/>
          <w:bCs/>
          <w:lang w:eastAsia="pl-PL"/>
        </w:rPr>
        <w:t>P</w:t>
      </w:r>
      <w:r w:rsidR="0050133F" w:rsidRPr="00955648">
        <w:rPr>
          <w:rFonts w:cs="Calibri"/>
          <w:bCs/>
          <w:lang w:eastAsia="pl-PL"/>
        </w:rPr>
        <w:t xml:space="preserve">ozwolenia na </w:t>
      </w:r>
      <w:r w:rsidR="008F6831" w:rsidRPr="00955648">
        <w:rPr>
          <w:rFonts w:cs="Calibri"/>
          <w:bCs/>
          <w:lang w:eastAsia="pl-PL"/>
        </w:rPr>
        <w:t>B</w:t>
      </w:r>
      <w:r w:rsidR="0050133F" w:rsidRPr="00955648">
        <w:rPr>
          <w:rFonts w:cs="Calibri"/>
          <w:bCs/>
          <w:lang w:eastAsia="pl-PL"/>
        </w:rPr>
        <w:t xml:space="preserve">udowę lub </w:t>
      </w:r>
      <w:r w:rsidR="008F6831" w:rsidRPr="00955648">
        <w:rPr>
          <w:rFonts w:cs="Calibri"/>
          <w:bCs/>
          <w:lang w:eastAsia="pl-PL"/>
        </w:rPr>
        <w:t xml:space="preserve">uzyskanie </w:t>
      </w:r>
      <w:r w:rsidR="0050133F" w:rsidRPr="00955648">
        <w:rPr>
          <w:rFonts w:cs="Calibri"/>
          <w:bCs/>
          <w:lang w:eastAsia="pl-PL"/>
        </w:rPr>
        <w:t>zgłoszenia zamiaru rozpoczęcia robót budowlanych bez sprzeciwu ze strony właściwych organów administracji budowlanej,</w:t>
      </w:r>
    </w:p>
    <w:p w14:paraId="7FBB27B0" w14:textId="77777777" w:rsidR="005E3AF0" w:rsidRPr="00955648" w:rsidRDefault="005E3AF0" w:rsidP="006E2367">
      <w:pPr>
        <w:numPr>
          <w:ilvl w:val="0"/>
          <w:numId w:val="4"/>
        </w:numPr>
        <w:spacing w:before="120" w:after="0"/>
        <w:jc w:val="both"/>
        <w:rPr>
          <w:rFonts w:eastAsia="Times New Roman" w:cs="Calibri"/>
          <w:lang w:eastAsia="pl-PL"/>
        </w:rPr>
      </w:pPr>
      <w:r w:rsidRPr="00955648">
        <w:rPr>
          <w:rFonts w:eastAsia="Times New Roman" w:cs="Calibri"/>
          <w:b/>
          <w:lang w:eastAsia="pl-PL"/>
        </w:rPr>
        <w:t xml:space="preserve">Dokumenty Kontraktowe – </w:t>
      </w:r>
      <w:r w:rsidRPr="00955648">
        <w:rPr>
          <w:rFonts w:eastAsia="Times New Roman" w:cs="Calibri"/>
          <w:lang w:eastAsia="pl-PL"/>
        </w:rPr>
        <w:t xml:space="preserve">oznaczają niniejszą Umowę wraz z Załącznikami oraz Ofertę Partnera </w:t>
      </w:r>
      <w:r w:rsidR="00DD35CD" w:rsidRPr="00955648">
        <w:rPr>
          <w:rFonts w:eastAsia="Times New Roman" w:cs="Calibri"/>
          <w:lang w:eastAsia="pl-PL"/>
        </w:rPr>
        <w:t>P</w:t>
      </w:r>
      <w:r w:rsidRPr="00955648">
        <w:rPr>
          <w:rFonts w:eastAsia="Times New Roman" w:cs="Calibri"/>
          <w:lang w:eastAsia="pl-PL"/>
        </w:rPr>
        <w:t xml:space="preserve">rywatnego wraz z </w:t>
      </w:r>
      <w:r w:rsidR="00FA1EEE" w:rsidRPr="00955648">
        <w:rPr>
          <w:rFonts w:eastAsia="Times New Roman" w:cs="Calibri"/>
          <w:lang w:eastAsia="pl-PL"/>
        </w:rPr>
        <w:t>Załącznikami</w:t>
      </w:r>
      <w:r w:rsidR="00D01258" w:rsidRPr="00955648">
        <w:rPr>
          <w:rFonts w:eastAsia="Times New Roman" w:cs="Calibri"/>
          <w:lang w:eastAsia="pl-PL"/>
        </w:rPr>
        <w:t>;</w:t>
      </w:r>
    </w:p>
    <w:p w14:paraId="49EE757C" w14:textId="34358AB4" w:rsidR="005850AB" w:rsidRPr="00955648" w:rsidRDefault="005850AB" w:rsidP="005850AB">
      <w:pPr>
        <w:numPr>
          <w:ilvl w:val="0"/>
          <w:numId w:val="4"/>
        </w:numPr>
        <w:spacing w:before="120" w:after="0"/>
        <w:jc w:val="both"/>
        <w:rPr>
          <w:rFonts w:eastAsia="Times New Roman" w:cs="Calibri"/>
          <w:lang w:eastAsia="pl-PL"/>
        </w:rPr>
      </w:pPr>
      <w:r w:rsidRPr="00955648">
        <w:rPr>
          <w:rFonts w:eastAsia="Times New Roman" w:cs="Calibri"/>
          <w:b/>
          <w:bCs/>
          <w:lang w:eastAsia="pl-PL"/>
        </w:rPr>
        <w:t>Działania Zaradcze</w:t>
      </w:r>
      <w:r w:rsidRPr="00955648">
        <w:rPr>
          <w:rFonts w:eastAsia="Times New Roman" w:cs="Calibri"/>
          <w:lang w:eastAsia="pl-PL"/>
        </w:rPr>
        <w:t xml:space="preserve"> – działania podejmowane przez Strony w celu wykonania Umowy w sytuacji wystąpienia Zdarzeń Nieprzewidywalnych, wymienione w pkt 29.3. Umowy, do których należą: przedłużenie odpowiednich terminów określonych w Umowie, zwolnienie Partnera Prywatnego z obowiązków wynikających z Umowy w zakresie, w jakim niewywiązanie się z powyższych obowiązków wynikło lub może wyniknąć z powodu wystąpienia Zdarzenia Nieprzewidywalnego, zwrot udokumentowanych Dodatkowych Kosztów </w:t>
      </w:r>
      <w:bookmarkStart w:id="3" w:name="_GoBack"/>
      <w:bookmarkEnd w:id="3"/>
      <w:r w:rsidRPr="00955648">
        <w:rPr>
          <w:rFonts w:eastAsia="Times New Roman" w:cs="Calibri"/>
          <w:lang w:eastAsia="pl-PL"/>
        </w:rPr>
        <w:t>Partnera Prywatnego, w zakresie</w:t>
      </w:r>
      <w:r w:rsidR="006533B5" w:rsidRPr="00955648">
        <w:rPr>
          <w:rFonts w:eastAsia="Times New Roman" w:cs="Calibri"/>
          <w:lang w:eastAsia="pl-PL"/>
        </w:rPr>
        <w:t>,</w:t>
      </w:r>
      <w:r w:rsidRPr="00955648">
        <w:rPr>
          <w:rFonts w:eastAsia="Times New Roman" w:cs="Calibri"/>
          <w:lang w:eastAsia="pl-PL"/>
        </w:rPr>
        <w:t xml:space="preserve"> w jakim konieczność poniesienia przez Partnera Prywatnego powyższych Dodatkowych Kosztów wynikła lub może wyniknąć bezpośrednio z powodu wystąpienia Zdarzenia Nieprzewidywalnego lub zmiana Wynagrodzenia, o którym mowa w pkt </w:t>
      </w:r>
      <w:r w:rsidRPr="00955648">
        <w:rPr>
          <w:rFonts w:eastAsia="Times New Roman" w:cs="Calibri"/>
          <w:lang w:eastAsia="pl-PL"/>
        </w:rPr>
        <w:fldChar w:fldCharType="begin"/>
      </w:r>
      <w:r w:rsidRPr="00955648">
        <w:rPr>
          <w:rFonts w:eastAsia="Times New Roman" w:cs="Calibri"/>
          <w:lang w:eastAsia="pl-PL"/>
        </w:rPr>
        <w:instrText xml:space="preserve"> REF _Ref18484739 \r \h </w:instrText>
      </w:r>
      <w:r w:rsidR="008F3F07" w:rsidRPr="00955648">
        <w:rPr>
          <w:rFonts w:eastAsia="Times New Roman" w:cs="Calibri"/>
          <w:lang w:eastAsia="pl-PL"/>
        </w:rPr>
        <w:instrText xml:space="preserve"> \* MERGEFORMAT </w:instrText>
      </w:r>
      <w:r w:rsidRPr="00955648">
        <w:rPr>
          <w:rFonts w:eastAsia="Times New Roman" w:cs="Calibri"/>
          <w:lang w:eastAsia="pl-PL"/>
        </w:rPr>
      </w:r>
      <w:r w:rsidRPr="00955648">
        <w:rPr>
          <w:rFonts w:eastAsia="Times New Roman" w:cs="Calibri"/>
          <w:lang w:eastAsia="pl-PL"/>
        </w:rPr>
        <w:fldChar w:fldCharType="separate"/>
      </w:r>
      <w:r w:rsidRPr="00955648">
        <w:rPr>
          <w:rFonts w:eastAsia="Times New Roman" w:cs="Calibri"/>
          <w:cs/>
          <w:lang w:eastAsia="pl-PL"/>
        </w:rPr>
        <w:t>‎</w:t>
      </w:r>
      <w:r w:rsidRPr="00955648">
        <w:rPr>
          <w:rFonts w:eastAsia="Times New Roman" w:cs="Calibri"/>
          <w:lang w:eastAsia="pl-PL"/>
        </w:rPr>
        <w:t>6</w:t>
      </w:r>
      <w:r w:rsidRPr="00955648">
        <w:rPr>
          <w:rFonts w:eastAsia="Times New Roman" w:cs="Calibri"/>
          <w:lang w:eastAsia="pl-PL"/>
        </w:rPr>
        <w:fldChar w:fldCharType="end"/>
      </w:r>
      <w:r w:rsidRPr="00955648">
        <w:rPr>
          <w:rFonts w:eastAsia="Times New Roman" w:cs="Calibri"/>
          <w:lang w:eastAsia="pl-PL"/>
        </w:rPr>
        <w:t xml:space="preserve"> Umowy. </w:t>
      </w:r>
    </w:p>
    <w:p w14:paraId="5C1DFB46" w14:textId="01D3E127" w:rsidR="007B4621" w:rsidRPr="00955648" w:rsidRDefault="007B4621" w:rsidP="007B4621">
      <w:pPr>
        <w:numPr>
          <w:ilvl w:val="0"/>
          <w:numId w:val="4"/>
        </w:numPr>
        <w:spacing w:before="120" w:after="0"/>
        <w:jc w:val="both"/>
        <w:rPr>
          <w:rFonts w:eastAsia="Times New Roman" w:cs="Calibri"/>
          <w:lang w:eastAsia="pl-PL"/>
        </w:rPr>
      </w:pPr>
      <w:r w:rsidRPr="00955648">
        <w:rPr>
          <w:rFonts w:eastAsia="Times New Roman" w:cs="Calibri"/>
          <w:b/>
        </w:rPr>
        <w:t xml:space="preserve">Etap Inwestycyjny – </w:t>
      </w:r>
      <w:r w:rsidRPr="00955648">
        <w:rPr>
          <w:rFonts w:eastAsia="Times New Roman" w:cs="Calibri"/>
        </w:rPr>
        <w:t xml:space="preserve">etap Umowy, obejmujący wykonanie Dokumentacji Projektowej, wykonanie Robót Budowlanych, trwający od </w:t>
      </w:r>
      <w:r w:rsidR="00841A06" w:rsidRPr="00955648">
        <w:rPr>
          <w:rFonts w:eastAsia="Times New Roman" w:cs="Calibri"/>
        </w:rPr>
        <w:t>Dnia Zawarcia Umowy</w:t>
      </w:r>
      <w:r w:rsidRPr="00955648">
        <w:rPr>
          <w:rFonts w:eastAsia="Times New Roman" w:cs="Calibri"/>
        </w:rPr>
        <w:t xml:space="preserve"> do uzyskania Pozwolenia na Użytkowanie lub </w:t>
      </w:r>
      <w:r w:rsidRPr="00955648">
        <w:rPr>
          <w:rFonts w:cs="Calibri"/>
          <w:bCs/>
          <w:lang w:eastAsia="ar-SA"/>
        </w:rPr>
        <w:t xml:space="preserve">zaświadczenia </w:t>
      </w:r>
      <w:r w:rsidRPr="00955648">
        <w:rPr>
          <w:rFonts w:eastAsia="Times New Roman" w:cs="Calibri"/>
        </w:rPr>
        <w:t>o braku podstaw do wniesienia sprzeciwu do złożonego zawiadomienia o zakończeniu budowy;</w:t>
      </w:r>
      <w:r w:rsidRPr="00955648">
        <w:rPr>
          <w:rFonts w:eastAsia="Times New Roman" w:cs="Calibri"/>
          <w:b/>
        </w:rPr>
        <w:t xml:space="preserve"> </w:t>
      </w:r>
      <w:r w:rsidRPr="00955648">
        <w:rPr>
          <w:rFonts w:eastAsia="Times New Roman" w:cs="Calibri"/>
        </w:rPr>
        <w:t xml:space="preserve"> </w:t>
      </w:r>
    </w:p>
    <w:p w14:paraId="053D957C" w14:textId="6CF41400" w:rsidR="007B4621" w:rsidRPr="00955648" w:rsidRDefault="007B4621" w:rsidP="007B4621">
      <w:pPr>
        <w:numPr>
          <w:ilvl w:val="0"/>
          <w:numId w:val="4"/>
        </w:numPr>
        <w:spacing w:before="120" w:after="0"/>
        <w:jc w:val="both"/>
        <w:rPr>
          <w:rFonts w:eastAsia="Times New Roman" w:cs="Calibri"/>
          <w:lang w:eastAsia="pl-PL"/>
        </w:rPr>
      </w:pPr>
      <w:r w:rsidRPr="00955648">
        <w:rPr>
          <w:rFonts w:eastAsia="Times New Roman" w:cs="Calibri"/>
          <w:b/>
          <w:lang w:eastAsia="pl-PL"/>
        </w:rPr>
        <w:t>Etap Przygotowawczy</w:t>
      </w:r>
      <w:r w:rsidRPr="00955648">
        <w:rPr>
          <w:rFonts w:eastAsia="Times New Roman" w:cs="Calibri"/>
          <w:lang w:eastAsia="pl-PL"/>
        </w:rPr>
        <w:t xml:space="preserve"> – </w:t>
      </w:r>
      <w:r w:rsidR="00A42C74" w:rsidRPr="00955648">
        <w:rPr>
          <w:rFonts w:eastAsia="Times New Roman" w:cs="Calibri"/>
          <w:lang w:eastAsia="pl-PL"/>
        </w:rPr>
        <w:t>pierwsza część E</w:t>
      </w:r>
      <w:r w:rsidRPr="00955648">
        <w:rPr>
          <w:rFonts w:eastAsia="Times New Roman" w:cs="Calibri"/>
          <w:lang w:eastAsia="pl-PL"/>
        </w:rPr>
        <w:t>tap</w:t>
      </w:r>
      <w:r w:rsidR="00A42C74" w:rsidRPr="00955648">
        <w:rPr>
          <w:rFonts w:eastAsia="Times New Roman" w:cs="Calibri"/>
          <w:lang w:eastAsia="pl-PL"/>
        </w:rPr>
        <w:t>u Inwestycyjnego</w:t>
      </w:r>
      <w:r w:rsidRPr="00955648">
        <w:rPr>
          <w:rFonts w:eastAsia="Times New Roman" w:cs="Calibri"/>
          <w:lang w:eastAsia="pl-PL"/>
        </w:rPr>
        <w:t xml:space="preserve"> Umowy, obejmując</w:t>
      </w:r>
      <w:r w:rsidR="00841A06" w:rsidRPr="00955648">
        <w:rPr>
          <w:rFonts w:eastAsia="Times New Roman" w:cs="Calibri"/>
          <w:lang w:eastAsia="pl-PL"/>
        </w:rPr>
        <w:t>a</w:t>
      </w:r>
      <w:r w:rsidRPr="00955648">
        <w:rPr>
          <w:rFonts w:eastAsia="Times New Roman" w:cs="Calibri"/>
          <w:lang w:eastAsia="pl-PL"/>
        </w:rPr>
        <w:t xml:space="preserve"> przygotowanie realizacji Przedsięwzięcia, w tym zatwierdzenie Konc</w:t>
      </w:r>
      <w:r w:rsidR="002314DE" w:rsidRPr="00955648">
        <w:rPr>
          <w:rFonts w:eastAsia="Times New Roman" w:cs="Calibri"/>
          <w:lang w:eastAsia="pl-PL"/>
        </w:rPr>
        <w:t>epcji Projektowej, trwający od Dnia Z</w:t>
      </w:r>
      <w:r w:rsidRPr="00955648">
        <w:rPr>
          <w:rFonts w:eastAsia="Times New Roman" w:cs="Calibri"/>
          <w:lang w:eastAsia="pl-PL"/>
        </w:rPr>
        <w:t>awarcia Umowy do Zamknięcia Finansowego;</w:t>
      </w:r>
    </w:p>
    <w:p w14:paraId="269C5C7D" w14:textId="77777777" w:rsidR="007B4621" w:rsidRPr="00955648" w:rsidRDefault="007B4621" w:rsidP="0058268B">
      <w:pPr>
        <w:numPr>
          <w:ilvl w:val="0"/>
          <w:numId w:val="4"/>
        </w:numPr>
        <w:spacing w:before="120" w:after="120"/>
        <w:jc w:val="both"/>
        <w:rPr>
          <w:rFonts w:eastAsia="Times New Roman" w:cs="Calibri"/>
          <w:lang w:eastAsia="pl-PL"/>
        </w:rPr>
      </w:pPr>
      <w:r w:rsidRPr="00955648">
        <w:rPr>
          <w:rFonts w:eastAsia="Times New Roman" w:cs="Calibri"/>
          <w:b/>
        </w:rPr>
        <w:lastRenderedPageBreak/>
        <w:t>Etap Utrzymania</w:t>
      </w:r>
      <w:r w:rsidR="006A73A8" w:rsidRPr="00955648">
        <w:rPr>
          <w:rFonts w:eastAsia="Times New Roman" w:cs="Calibri"/>
          <w:b/>
        </w:rPr>
        <w:t xml:space="preserve"> </w:t>
      </w:r>
      <w:r w:rsidRPr="00955648">
        <w:rPr>
          <w:rFonts w:eastAsia="Times New Roman" w:cs="Calibri"/>
        </w:rPr>
        <w:t>– etap Umowy, obejmujący świadczenie usług utrzymania i konserwacji, w tym</w:t>
      </w:r>
      <w:r w:rsidRPr="00955648">
        <w:rPr>
          <w:rFonts w:eastAsia="Times New Roman" w:cs="Calibri"/>
          <w:b/>
        </w:rPr>
        <w:t xml:space="preserve"> </w:t>
      </w:r>
      <w:r w:rsidRPr="00955648">
        <w:rPr>
          <w:rFonts w:eastAsia="Times New Roman" w:cs="Calibri"/>
        </w:rPr>
        <w:t>wszelkie czynności faktyczne i prawne, podejmowane przez Partnera Prywatnego, związane z utrzymaniem technicznym w zakresie określonym Umową, z uwzględnieniem normalnego zużycia, obejmujące Konserwację, Naprawy i Remonty oraz gwarantujące zachowanie Obiektu w stanie niepogorszonym i umożliwiające korzystanie z niego zgodnie z jego przeznaczeniem;</w:t>
      </w:r>
    </w:p>
    <w:p w14:paraId="05A95C1D" w14:textId="052BDA4E" w:rsidR="0058268B" w:rsidRPr="00955648" w:rsidRDefault="0058268B" w:rsidP="0058268B">
      <w:pPr>
        <w:numPr>
          <w:ilvl w:val="0"/>
          <w:numId w:val="4"/>
        </w:numPr>
        <w:jc w:val="both"/>
        <w:rPr>
          <w:rFonts w:eastAsia="Times New Roman" w:cs="Calibri"/>
          <w:lang w:eastAsia="pl-PL"/>
        </w:rPr>
      </w:pPr>
      <w:proofErr w:type="gramStart"/>
      <w:r w:rsidRPr="00955648">
        <w:rPr>
          <w:rFonts w:eastAsia="Times New Roman" w:cs="Calibri"/>
          <w:b/>
          <w:lang w:eastAsia="pl-PL"/>
        </w:rPr>
        <w:t>Gwarancja Jakości</w:t>
      </w:r>
      <w:proofErr w:type="gramEnd"/>
      <w:r w:rsidRPr="00955648">
        <w:rPr>
          <w:rFonts w:eastAsia="Times New Roman" w:cs="Calibri"/>
          <w:lang w:eastAsia="pl-PL"/>
        </w:rPr>
        <w:t xml:space="preserve"> – okres gwarancji </w:t>
      </w:r>
      <w:r w:rsidR="005D0296">
        <w:rPr>
          <w:rFonts w:eastAsia="Times New Roman" w:cs="Calibri"/>
          <w:lang w:eastAsia="pl-PL"/>
        </w:rPr>
        <w:t>udzielonej na zrealizowany przedmiot Umowy</w:t>
      </w:r>
      <w:r w:rsidRPr="00955648">
        <w:rPr>
          <w:rFonts w:eastAsia="Times New Roman" w:cs="Calibri"/>
          <w:lang w:eastAsia="pl-PL"/>
        </w:rPr>
        <w:t xml:space="preserve"> wynoszący 120 </w:t>
      </w:r>
      <w:r w:rsidR="005D0296">
        <w:rPr>
          <w:rFonts w:eastAsia="Times New Roman" w:cs="Calibri"/>
          <w:lang w:eastAsia="pl-PL"/>
        </w:rPr>
        <w:t>miesięcy liczony</w:t>
      </w:r>
      <w:r w:rsidRPr="00955648">
        <w:rPr>
          <w:rFonts w:eastAsia="Times New Roman" w:cs="Calibri"/>
          <w:lang w:eastAsia="pl-PL"/>
        </w:rPr>
        <w:t xml:space="preserve"> </w:t>
      </w:r>
      <w:r w:rsidR="005D0296" w:rsidRPr="005D0296">
        <w:rPr>
          <w:rFonts w:asciiTheme="minorHAnsi" w:hAnsiTheme="minorHAnsi" w:cstheme="minorHAnsi"/>
        </w:rPr>
        <w:t xml:space="preserve">od </w:t>
      </w:r>
      <w:r w:rsidR="005D0296" w:rsidRPr="005D0296">
        <w:rPr>
          <w:rFonts w:asciiTheme="minorHAnsi" w:hAnsiTheme="minorHAnsi" w:cstheme="minorHAnsi"/>
          <w:bCs/>
        </w:rPr>
        <w:t xml:space="preserve">daty Odbioru </w:t>
      </w:r>
      <w:r w:rsidR="005D0296" w:rsidRPr="005D0296">
        <w:rPr>
          <w:rFonts w:asciiTheme="minorHAnsi" w:hAnsiTheme="minorHAnsi" w:cstheme="minorHAnsi"/>
        </w:rPr>
        <w:t>Końcowego Robót Budowlanych do zakończenia Umowy o PPP (zakończenia Etapu Utrzymania)</w:t>
      </w:r>
      <w:r w:rsidRPr="005D0296">
        <w:rPr>
          <w:rFonts w:eastAsia="Times New Roman" w:cs="Calibri"/>
          <w:lang w:eastAsia="pl-PL"/>
        </w:rPr>
        <w:t xml:space="preserve">, </w:t>
      </w:r>
      <w:r w:rsidRPr="00955648">
        <w:rPr>
          <w:rFonts w:eastAsia="Times New Roman" w:cs="Calibri"/>
          <w:lang w:eastAsia="pl-PL"/>
        </w:rPr>
        <w:t xml:space="preserve">obejmujący zobowiązania Partnera Prywatnego do realizacji obowiązków określonych w Załączniku nr 10 do Umowy; </w:t>
      </w:r>
    </w:p>
    <w:p w14:paraId="4D3F77EF" w14:textId="77777777" w:rsidR="00841A06" w:rsidRPr="00955648" w:rsidRDefault="00841A06" w:rsidP="00841A06">
      <w:pPr>
        <w:numPr>
          <w:ilvl w:val="0"/>
          <w:numId w:val="4"/>
        </w:numPr>
        <w:jc w:val="both"/>
        <w:rPr>
          <w:rFonts w:eastAsia="Times New Roman" w:cs="Calibri"/>
          <w:lang w:eastAsia="pl-PL"/>
        </w:rPr>
      </w:pPr>
      <w:r w:rsidRPr="00955648">
        <w:rPr>
          <w:rFonts w:eastAsia="Times New Roman" w:cs="Calibri"/>
          <w:b/>
          <w:lang w:eastAsia="pl-PL"/>
        </w:rPr>
        <w:t>Gwarancja na Urządzenia oświetleniowe</w:t>
      </w:r>
      <w:r w:rsidRPr="00955648">
        <w:rPr>
          <w:rFonts w:eastAsia="Times New Roman" w:cs="Calibri"/>
          <w:lang w:eastAsia="pl-PL"/>
        </w:rPr>
        <w:t xml:space="preserve"> – gwarancja udzielona na oprawy i źródła światła LED wraz z układem elektronicznym, słupy, wysięgniki i fundamenty, szafki sterujące oświetleniem wraz z wyposażeniem, kable elektryczne, mufy kablowe i urządzenia stacji roboczej do zarządzania systemem oświetleniowym na okres zadeklarowany przez Partnera Prywatnego w Ofercie, obejmujący zobowiązania Partnera Prywatnego do realizacji obowiązków określonych w Załączniku nr 10 do Umowy;</w:t>
      </w:r>
    </w:p>
    <w:p w14:paraId="16E8FCE5" w14:textId="45C99803" w:rsidR="004D4168" w:rsidRPr="00955648" w:rsidRDefault="004D4168" w:rsidP="004D4168">
      <w:pPr>
        <w:numPr>
          <w:ilvl w:val="0"/>
          <w:numId w:val="4"/>
        </w:numPr>
        <w:spacing w:before="120" w:after="0"/>
        <w:jc w:val="both"/>
        <w:rPr>
          <w:rFonts w:eastAsia="Times New Roman" w:cs="Calibri"/>
          <w:lang w:eastAsia="pl-PL"/>
        </w:rPr>
      </w:pPr>
      <w:r w:rsidRPr="00955648">
        <w:rPr>
          <w:rFonts w:eastAsia="Times New Roman" w:cs="Calibri"/>
          <w:b/>
          <w:bCs/>
        </w:rPr>
        <w:t xml:space="preserve">Harmonogram przeglądów gwarancyjnych - </w:t>
      </w:r>
      <w:r w:rsidRPr="00955648">
        <w:rPr>
          <w:rFonts w:eastAsia="Times New Roman" w:cs="Calibri"/>
        </w:rPr>
        <w:t xml:space="preserve">należy przez to rozumieć sporządzane przez Partnera Prywatnego zestawienie określające w porządku chronologicznym ramy czasowe wykonania przeglądów gwarancyjnych wszystkich Obiektów w danym roku kalendarzowym, składany w terminie określonym w pkt </w:t>
      </w:r>
      <w:r w:rsidR="00B968EC" w:rsidRPr="00955648">
        <w:rPr>
          <w:rFonts w:eastAsia="Times New Roman" w:cs="Calibri"/>
        </w:rPr>
        <w:t>2.11</w:t>
      </w:r>
      <w:r w:rsidRPr="00955648">
        <w:rPr>
          <w:rFonts w:eastAsia="Times New Roman" w:cs="Calibri"/>
        </w:rPr>
        <w:t xml:space="preserve">. Załącznika nr </w:t>
      </w:r>
      <w:r w:rsidR="00EC273A" w:rsidRPr="00955648">
        <w:rPr>
          <w:rFonts w:eastAsia="Times New Roman" w:cs="Calibri"/>
        </w:rPr>
        <w:t>10</w:t>
      </w:r>
      <w:r w:rsidRPr="00955648">
        <w:rPr>
          <w:rFonts w:eastAsia="Times New Roman" w:cs="Calibri"/>
        </w:rPr>
        <w:t xml:space="preserve"> do Umowy;</w:t>
      </w:r>
    </w:p>
    <w:p w14:paraId="79599B74" w14:textId="77777777" w:rsidR="00FA1EEE" w:rsidRPr="00955648" w:rsidRDefault="006E015C" w:rsidP="002314DE">
      <w:pPr>
        <w:numPr>
          <w:ilvl w:val="0"/>
          <w:numId w:val="4"/>
        </w:numPr>
        <w:spacing w:before="120" w:after="0"/>
        <w:jc w:val="both"/>
        <w:rPr>
          <w:rFonts w:eastAsia="Times New Roman" w:cs="Calibri"/>
          <w:lang w:eastAsia="pl-PL"/>
        </w:rPr>
      </w:pPr>
      <w:r w:rsidRPr="00955648">
        <w:rPr>
          <w:rFonts w:eastAsia="Times New Roman" w:cs="Calibri"/>
          <w:b/>
          <w:bCs/>
        </w:rPr>
        <w:t>Harmonogram R</w:t>
      </w:r>
      <w:r w:rsidR="006E2367" w:rsidRPr="00955648">
        <w:rPr>
          <w:rFonts w:eastAsia="Times New Roman" w:cs="Calibri"/>
          <w:b/>
          <w:bCs/>
        </w:rPr>
        <w:t>zeczow</w:t>
      </w:r>
      <w:r w:rsidR="00A4591A" w:rsidRPr="00955648">
        <w:rPr>
          <w:rFonts w:eastAsia="Times New Roman" w:cs="Calibri"/>
          <w:b/>
          <w:bCs/>
        </w:rPr>
        <w:t>y</w:t>
      </w:r>
      <w:r w:rsidR="002314DE" w:rsidRPr="00955648">
        <w:rPr>
          <w:rFonts w:eastAsia="Times New Roman" w:cs="Calibri"/>
          <w:bCs/>
        </w:rPr>
        <w:t xml:space="preserve"> </w:t>
      </w:r>
      <w:r w:rsidR="006E2367" w:rsidRPr="00955648">
        <w:rPr>
          <w:rFonts w:eastAsia="Times New Roman" w:cs="Calibri"/>
        </w:rPr>
        <w:t xml:space="preserve">– należy przez to rozumieć sporządzane przez </w:t>
      </w:r>
      <w:r w:rsidR="00452CB4" w:rsidRPr="00955648">
        <w:rPr>
          <w:rFonts w:eastAsia="Times New Roman" w:cs="Calibri"/>
        </w:rPr>
        <w:t xml:space="preserve">Partnera Prywatnego </w:t>
      </w:r>
      <w:r w:rsidR="006E2367" w:rsidRPr="00955648">
        <w:rPr>
          <w:rFonts w:eastAsia="Times New Roman" w:cs="Calibri"/>
        </w:rPr>
        <w:t xml:space="preserve">i zatwierdzone przez </w:t>
      </w:r>
      <w:r w:rsidR="00452CB4" w:rsidRPr="00955648">
        <w:rPr>
          <w:rFonts w:eastAsia="Times New Roman" w:cs="Calibri"/>
        </w:rPr>
        <w:t xml:space="preserve">Podmiot Publiczny </w:t>
      </w:r>
      <w:r w:rsidR="006E2367" w:rsidRPr="00955648">
        <w:rPr>
          <w:rFonts w:eastAsia="Times New Roman" w:cs="Calibri"/>
        </w:rPr>
        <w:t xml:space="preserve">zestawienie określające w porządku chronologicznym ramy czasowe wykonania całości, poszczególnych części (Etapów) objętych </w:t>
      </w:r>
      <w:r w:rsidR="002314DE" w:rsidRPr="00955648">
        <w:rPr>
          <w:rFonts w:eastAsia="Times New Roman" w:cs="Calibri"/>
        </w:rPr>
        <w:t>P</w:t>
      </w:r>
      <w:r w:rsidR="006E2367" w:rsidRPr="00955648">
        <w:rPr>
          <w:rFonts w:eastAsia="Times New Roman" w:cs="Calibri"/>
        </w:rPr>
        <w:t xml:space="preserve">rzedmiotem </w:t>
      </w:r>
      <w:r w:rsidR="00DD35CD" w:rsidRPr="00955648">
        <w:rPr>
          <w:rFonts w:eastAsia="Times New Roman" w:cs="Calibri"/>
        </w:rPr>
        <w:t>U</w:t>
      </w:r>
      <w:r w:rsidR="006E2367" w:rsidRPr="00955648">
        <w:rPr>
          <w:rFonts w:eastAsia="Times New Roman" w:cs="Calibri"/>
        </w:rPr>
        <w:t>mowy</w:t>
      </w:r>
      <w:r w:rsidR="00432D53" w:rsidRPr="00955648">
        <w:rPr>
          <w:rFonts w:eastAsia="Times New Roman" w:cs="Calibri"/>
        </w:rPr>
        <w:t xml:space="preserve">, z uwzględnieniem zapisów pkt 1.11 </w:t>
      </w:r>
      <w:r w:rsidR="00452CB4" w:rsidRPr="00955648">
        <w:rPr>
          <w:rFonts w:eastAsia="Times New Roman" w:cs="Calibri"/>
        </w:rPr>
        <w:t>O</w:t>
      </w:r>
      <w:r w:rsidR="00432D53" w:rsidRPr="00955648">
        <w:rPr>
          <w:rFonts w:eastAsia="Times New Roman" w:cs="Calibri"/>
        </w:rPr>
        <w:t>pisu przedmiotu</w:t>
      </w:r>
      <w:r w:rsidR="00346C68" w:rsidRPr="00955648">
        <w:rPr>
          <w:rFonts w:eastAsia="Times New Roman" w:cs="Calibri"/>
        </w:rPr>
        <w:t xml:space="preserve"> </w:t>
      </w:r>
      <w:r w:rsidR="00A4591A" w:rsidRPr="00955648">
        <w:rPr>
          <w:rFonts w:eastAsia="Times New Roman" w:cs="Calibri"/>
        </w:rPr>
        <w:t>zamówienia</w:t>
      </w:r>
      <w:r w:rsidR="00432D53" w:rsidRPr="00955648">
        <w:rPr>
          <w:rFonts w:eastAsia="Times New Roman" w:cs="Calibri"/>
        </w:rPr>
        <w:t xml:space="preserve">, stanowiącego </w:t>
      </w:r>
      <w:r w:rsidR="00452CB4" w:rsidRPr="00955648">
        <w:rPr>
          <w:rFonts w:eastAsia="Times New Roman" w:cs="Calibri"/>
        </w:rPr>
        <w:t>Z</w:t>
      </w:r>
      <w:r w:rsidR="00432D53" w:rsidRPr="00955648">
        <w:rPr>
          <w:rFonts w:eastAsia="Times New Roman" w:cs="Calibri"/>
        </w:rPr>
        <w:t xml:space="preserve">ałącznik nr </w:t>
      </w:r>
      <w:r w:rsidR="00452CB4" w:rsidRPr="00955648">
        <w:rPr>
          <w:rFonts w:eastAsia="Times New Roman" w:cs="Calibri"/>
        </w:rPr>
        <w:t>9</w:t>
      </w:r>
      <w:r w:rsidR="00432D53" w:rsidRPr="00955648">
        <w:rPr>
          <w:rFonts w:eastAsia="Times New Roman" w:cs="Calibri"/>
        </w:rPr>
        <w:t xml:space="preserve"> do </w:t>
      </w:r>
      <w:r w:rsidR="00452CB4" w:rsidRPr="00955648">
        <w:rPr>
          <w:rFonts w:eastAsia="Times New Roman" w:cs="Calibri"/>
        </w:rPr>
        <w:t>Umowy</w:t>
      </w:r>
      <w:r w:rsidR="00007A9E" w:rsidRPr="00955648">
        <w:rPr>
          <w:rFonts w:eastAsia="Times New Roman" w:cs="Calibri"/>
        </w:rPr>
        <w:t>;</w:t>
      </w:r>
    </w:p>
    <w:p w14:paraId="7DADA6C7" w14:textId="77777777" w:rsidR="00990A90" w:rsidRPr="00955648" w:rsidRDefault="00990A90" w:rsidP="00990A90">
      <w:pPr>
        <w:numPr>
          <w:ilvl w:val="0"/>
          <w:numId w:val="4"/>
        </w:numPr>
        <w:spacing w:before="120" w:after="0"/>
        <w:jc w:val="both"/>
        <w:rPr>
          <w:rFonts w:eastAsia="Times New Roman" w:cs="Calibri"/>
          <w:lang w:eastAsia="pl-PL"/>
        </w:rPr>
      </w:pPr>
      <w:r w:rsidRPr="00955648">
        <w:rPr>
          <w:rFonts w:eastAsia="Times New Roman" w:cs="Calibri"/>
          <w:b/>
          <w:lang w:eastAsia="pl-PL"/>
        </w:rPr>
        <w:t>Harmonogram spłat Finansowania</w:t>
      </w:r>
      <w:r w:rsidRPr="00955648">
        <w:rPr>
          <w:rFonts w:eastAsia="Times New Roman" w:cs="Calibri"/>
          <w:lang w:eastAsia="pl-PL"/>
        </w:rPr>
        <w:t xml:space="preserve"> – harmonogram, o którym mowa w pkt 11.5 Umowy, do którego przedłożenia zobowiązany jest Partner Prywatny. Zmiana Harmonogramu nie stanowi zmiany Umowy;</w:t>
      </w:r>
    </w:p>
    <w:p w14:paraId="09E417F5" w14:textId="77777777" w:rsidR="007B4621" w:rsidRPr="00955648" w:rsidRDefault="007B4621" w:rsidP="007B4621">
      <w:pPr>
        <w:numPr>
          <w:ilvl w:val="0"/>
          <w:numId w:val="4"/>
        </w:numPr>
        <w:spacing w:before="120" w:after="0"/>
        <w:jc w:val="both"/>
        <w:rPr>
          <w:rFonts w:eastAsia="Times New Roman" w:cs="Calibri"/>
          <w:lang w:eastAsia="pl-PL"/>
        </w:rPr>
      </w:pPr>
      <w:r w:rsidRPr="00955648">
        <w:rPr>
          <w:rFonts w:eastAsia="Times New Roman" w:cs="Calibri"/>
          <w:b/>
        </w:rPr>
        <w:t>Harmonogram Wynagrodzenia –</w:t>
      </w:r>
      <w:r w:rsidRPr="00955648">
        <w:rPr>
          <w:rFonts w:eastAsia="Times New Roman" w:cs="Calibri"/>
          <w:lang w:eastAsia="pl-PL"/>
        </w:rPr>
        <w:t xml:space="preserve"> harmonogram obejmujący wszystkie elementy Wynagrodzenia wraz z terminem płatności poszczególnych rat, składających się na Wynagrodzenie;</w:t>
      </w:r>
    </w:p>
    <w:p w14:paraId="0E77C8A1" w14:textId="77777777" w:rsidR="00CF3BFC" w:rsidRPr="00955648" w:rsidRDefault="00CF3BFC" w:rsidP="00CF3BFC">
      <w:pPr>
        <w:numPr>
          <w:ilvl w:val="0"/>
          <w:numId w:val="4"/>
        </w:numPr>
        <w:spacing w:before="120" w:after="0"/>
        <w:jc w:val="both"/>
        <w:rPr>
          <w:rFonts w:eastAsia="Times New Roman" w:cs="Calibri"/>
          <w:lang w:eastAsia="pl-PL"/>
        </w:rPr>
      </w:pPr>
      <w:r w:rsidRPr="00955648">
        <w:rPr>
          <w:rFonts w:eastAsia="Times New Roman" w:cs="Calibri"/>
          <w:b/>
          <w:bCs/>
          <w:lang w:eastAsia="pl-PL"/>
        </w:rPr>
        <w:t>Inspektor Nadzoru Inwestorskiego</w:t>
      </w:r>
      <w:r w:rsidRPr="00955648">
        <w:rPr>
          <w:rFonts w:eastAsia="Times New Roman" w:cs="Calibri"/>
          <w:lang w:eastAsia="pl-PL"/>
        </w:rPr>
        <w:t xml:space="preserve"> – uczestnik procesu budowlanego prowadzonego przy realizacji Przedsięwzięcia, powołany przez Podmiot Publiczny zgodnie z zasadami określonymi w pkt 20 Umowy, posiadający stosowne uprawnienia budowlane, </w:t>
      </w:r>
      <w:r w:rsidRPr="00955648">
        <w:rPr>
          <w:rFonts w:eastAsia="Times New Roman" w:cs="Calibri"/>
          <w:spacing w:val="4"/>
        </w:rPr>
        <w:t>działający w granicach umocowania określonego przepisami Prawa Budowlanego;</w:t>
      </w:r>
    </w:p>
    <w:p w14:paraId="24588BED" w14:textId="77777777" w:rsidR="007B4621" w:rsidRPr="00955648" w:rsidRDefault="007B4621" w:rsidP="007B4621">
      <w:pPr>
        <w:numPr>
          <w:ilvl w:val="0"/>
          <w:numId w:val="4"/>
        </w:numPr>
        <w:spacing w:before="120" w:after="0"/>
        <w:jc w:val="both"/>
        <w:rPr>
          <w:rFonts w:eastAsia="Times New Roman" w:cs="Calibri"/>
          <w:lang w:eastAsia="pl-PL"/>
        </w:rPr>
      </w:pPr>
      <w:r w:rsidRPr="00955648">
        <w:rPr>
          <w:rFonts w:eastAsia="Times New Roman" w:cs="Calibri"/>
          <w:b/>
        </w:rPr>
        <w:t xml:space="preserve">Instytucja Finansująca - </w:t>
      </w:r>
      <w:r w:rsidRPr="00955648">
        <w:rPr>
          <w:rFonts w:eastAsia="Times New Roman" w:cs="Calibri"/>
        </w:rPr>
        <w:t>banki, instytucje kredytowe lub finansowe będące stronami Umów Kredytowych;</w:t>
      </w:r>
    </w:p>
    <w:p w14:paraId="73FCC8DA" w14:textId="77777777" w:rsidR="00CF3BFC" w:rsidRPr="00955648" w:rsidRDefault="00CF3BFC" w:rsidP="00E9256F">
      <w:pPr>
        <w:numPr>
          <w:ilvl w:val="0"/>
          <w:numId w:val="4"/>
        </w:numPr>
        <w:spacing w:before="120" w:after="120"/>
        <w:jc w:val="both"/>
        <w:rPr>
          <w:rFonts w:eastAsia="Times New Roman" w:cs="Calibri"/>
          <w:lang w:eastAsia="pl-PL"/>
        </w:rPr>
      </w:pPr>
      <w:r w:rsidRPr="00955648">
        <w:rPr>
          <w:rFonts w:eastAsia="Times New Roman" w:cs="Calibri"/>
          <w:b/>
          <w:bCs/>
          <w:lang w:eastAsia="pl-PL"/>
        </w:rPr>
        <w:t>Kierownik Budowy</w:t>
      </w:r>
      <w:r w:rsidR="00C00EB4" w:rsidRPr="00955648">
        <w:rPr>
          <w:rFonts w:eastAsia="Times New Roman" w:cs="Calibri"/>
          <w:lang w:eastAsia="pl-PL"/>
        </w:rPr>
        <w:t xml:space="preserve"> – oznacza osobę fizyczną, posiadającą kwalifikacje wymagane w Rozdziale 3 Prawa Budowlanego i pełniącą funkcje przypisane przez art. 21a, 22 (obowiązki) oraz art. 23 (prawa) Prawa Budowlanego tj. osoba uprawniona do prowadzenia samodzielnych funkcji technicznych w budownictwie, odpowiedzialna za prowadzenie dokumentacji budowy, </w:t>
      </w:r>
      <w:r w:rsidR="00C00EB4" w:rsidRPr="00955648">
        <w:rPr>
          <w:rFonts w:eastAsia="Times New Roman" w:cs="Calibri"/>
          <w:lang w:eastAsia="pl-PL"/>
        </w:rPr>
        <w:lastRenderedPageBreak/>
        <w:t>zapewnienie geodezyjnego wytyczenia obiektu, zorganizowanie budowy i kierowanie budową obiektu budowlanego w sposób zgodny z projektem i pozwoleniem na budowę, realizacją zaleceń wpisanych do dziennika budowy. Partner Prywatny zapewni objęcie kierownictwa budowy przez Kierownika Budowy wskazanego w Ofercie.</w:t>
      </w:r>
    </w:p>
    <w:p w14:paraId="43B25785" w14:textId="77777777" w:rsidR="005034AC" w:rsidRPr="00955648" w:rsidRDefault="005034AC" w:rsidP="00E9256F">
      <w:pPr>
        <w:numPr>
          <w:ilvl w:val="0"/>
          <w:numId w:val="4"/>
        </w:numPr>
        <w:spacing w:before="120" w:after="120"/>
        <w:jc w:val="both"/>
        <w:rPr>
          <w:rFonts w:eastAsia="Times New Roman" w:cs="Calibri"/>
          <w:lang w:eastAsia="pl-PL"/>
        </w:rPr>
      </w:pPr>
      <w:r w:rsidRPr="00955648">
        <w:rPr>
          <w:rFonts w:eastAsia="Times New Roman" w:cs="Calibri"/>
          <w:b/>
          <w:bCs/>
          <w:lang w:eastAsia="pl-PL"/>
        </w:rPr>
        <w:t xml:space="preserve">Kodeks Cywilny </w:t>
      </w:r>
      <w:r w:rsidRPr="00955648">
        <w:rPr>
          <w:rFonts w:eastAsia="Times New Roman" w:cs="Calibri"/>
          <w:lang w:eastAsia="pl-PL"/>
        </w:rPr>
        <w:t>(zwany również</w:t>
      </w:r>
      <w:r w:rsidRPr="00955648">
        <w:rPr>
          <w:rFonts w:eastAsia="Times New Roman" w:cs="Calibri"/>
          <w:b/>
          <w:bCs/>
          <w:lang w:eastAsia="pl-PL"/>
        </w:rPr>
        <w:t xml:space="preserve"> „KC” lub „k.c.”</w:t>
      </w:r>
      <w:r w:rsidRPr="00955648">
        <w:rPr>
          <w:rFonts w:eastAsia="Times New Roman" w:cs="Calibri"/>
          <w:lang w:eastAsia="pl-PL"/>
        </w:rPr>
        <w:t>)</w:t>
      </w:r>
      <w:r w:rsidRPr="00955648">
        <w:rPr>
          <w:rFonts w:eastAsia="Times New Roman" w:cs="Calibri"/>
          <w:b/>
          <w:bCs/>
          <w:lang w:eastAsia="pl-PL"/>
        </w:rPr>
        <w:t xml:space="preserve"> </w:t>
      </w:r>
      <w:r w:rsidRPr="00955648">
        <w:rPr>
          <w:rFonts w:eastAsia="Times New Roman" w:cs="Calibri"/>
          <w:lang w:eastAsia="pl-PL"/>
        </w:rPr>
        <w:t xml:space="preserve"> – </w:t>
      </w:r>
      <w:proofErr w:type="gramStart"/>
      <w:r w:rsidRPr="00955648">
        <w:rPr>
          <w:rFonts w:eastAsia="Times New Roman" w:cs="Calibri"/>
          <w:lang w:eastAsia="pl-PL"/>
        </w:rPr>
        <w:t>ustawa</w:t>
      </w:r>
      <w:proofErr w:type="gramEnd"/>
      <w:r w:rsidRPr="00955648">
        <w:rPr>
          <w:rFonts w:eastAsia="Times New Roman" w:cs="Calibri"/>
          <w:lang w:eastAsia="pl-PL"/>
        </w:rPr>
        <w:t xml:space="preserve"> z dnia 23 kwietnia 1964 r. Kodeks cywilny (tj. Dz. U. </w:t>
      </w:r>
      <w:proofErr w:type="gramStart"/>
      <w:r w:rsidRPr="00955648">
        <w:rPr>
          <w:rFonts w:eastAsia="Times New Roman" w:cs="Calibri"/>
          <w:lang w:eastAsia="pl-PL"/>
        </w:rPr>
        <w:t>z</w:t>
      </w:r>
      <w:proofErr w:type="gramEnd"/>
      <w:r w:rsidRPr="00955648">
        <w:rPr>
          <w:rFonts w:eastAsia="Times New Roman" w:cs="Calibri"/>
          <w:lang w:eastAsia="pl-PL"/>
        </w:rPr>
        <w:t xml:space="preserve"> 2018 r. poz. 1025 z </w:t>
      </w:r>
      <w:proofErr w:type="spellStart"/>
      <w:r w:rsidRPr="00955648">
        <w:rPr>
          <w:rFonts w:eastAsia="Times New Roman" w:cs="Calibri"/>
          <w:lang w:eastAsia="pl-PL"/>
        </w:rPr>
        <w:t>późń</w:t>
      </w:r>
      <w:proofErr w:type="spellEnd"/>
      <w:r w:rsidRPr="00955648">
        <w:rPr>
          <w:rFonts w:eastAsia="Times New Roman" w:cs="Calibri"/>
          <w:lang w:eastAsia="pl-PL"/>
        </w:rPr>
        <w:t xml:space="preserve">. </w:t>
      </w:r>
      <w:proofErr w:type="gramStart"/>
      <w:r w:rsidRPr="00955648">
        <w:rPr>
          <w:rFonts w:eastAsia="Times New Roman" w:cs="Calibri"/>
          <w:lang w:eastAsia="pl-PL"/>
        </w:rPr>
        <w:t>zm</w:t>
      </w:r>
      <w:proofErr w:type="gramEnd"/>
      <w:r w:rsidRPr="00955648">
        <w:rPr>
          <w:rFonts w:eastAsia="Times New Roman" w:cs="Calibri"/>
          <w:lang w:eastAsia="pl-PL"/>
        </w:rPr>
        <w:t>.).</w:t>
      </w:r>
    </w:p>
    <w:p w14:paraId="2BD45AC4" w14:textId="77777777" w:rsidR="008002C8" w:rsidRPr="00955648" w:rsidRDefault="008002C8" w:rsidP="008002C8">
      <w:pPr>
        <w:numPr>
          <w:ilvl w:val="0"/>
          <w:numId w:val="4"/>
        </w:numPr>
        <w:spacing w:after="120"/>
        <w:jc w:val="both"/>
        <w:rPr>
          <w:rFonts w:eastAsia="Times New Roman" w:cs="Calibri"/>
          <w:lang w:eastAsia="pl-PL"/>
        </w:rPr>
      </w:pPr>
      <w:r w:rsidRPr="00955648">
        <w:rPr>
          <w:rFonts w:eastAsia="Times New Roman" w:cs="Calibri"/>
          <w:b/>
          <w:bCs/>
          <w:lang w:eastAsia="pl-PL"/>
        </w:rPr>
        <w:t>Komisja Rozjemcza</w:t>
      </w:r>
      <w:r w:rsidRPr="00955648">
        <w:rPr>
          <w:rFonts w:eastAsia="Times New Roman" w:cs="Calibri"/>
          <w:lang w:eastAsia="pl-PL"/>
        </w:rPr>
        <w:t xml:space="preserve"> – komisja, składająca się z czterech członków, po dwóch przedstawicieli każdej ze Stron, powoływana na zasadach określonych w pkt 33 Umowy, której zadaniem jest rozpatrywanie sporów w ramach </w:t>
      </w:r>
      <w:r w:rsidRPr="00955648">
        <w:rPr>
          <w:rFonts w:cs="Calibri"/>
        </w:rPr>
        <w:t xml:space="preserve">Procedury Rozstrzygania Sporów określonej w Umowie; </w:t>
      </w:r>
    </w:p>
    <w:p w14:paraId="0CAAD5B1" w14:textId="77777777" w:rsidR="00E9256F" w:rsidRPr="00955648" w:rsidRDefault="005C6C6D" w:rsidP="00CB2778">
      <w:pPr>
        <w:numPr>
          <w:ilvl w:val="0"/>
          <w:numId w:val="4"/>
        </w:numPr>
        <w:spacing w:after="120"/>
        <w:jc w:val="both"/>
        <w:rPr>
          <w:rFonts w:eastAsia="Times New Roman" w:cs="Calibri"/>
          <w:lang w:eastAsia="pl-PL"/>
        </w:rPr>
      </w:pPr>
      <w:r w:rsidRPr="00955648">
        <w:rPr>
          <w:rFonts w:eastAsia="Times New Roman" w:cs="Calibri"/>
          <w:b/>
          <w:bCs/>
          <w:lang w:eastAsia="pl-PL"/>
        </w:rPr>
        <w:t xml:space="preserve">Komitet Zarządzający </w:t>
      </w:r>
      <w:r w:rsidR="00CB2778" w:rsidRPr="00955648">
        <w:rPr>
          <w:rFonts w:eastAsia="Times New Roman" w:cs="Calibri"/>
          <w:b/>
          <w:bCs/>
          <w:lang w:eastAsia="pl-PL"/>
        </w:rPr>
        <w:t>–</w:t>
      </w:r>
      <w:r w:rsidRPr="00955648">
        <w:rPr>
          <w:rFonts w:eastAsia="Times New Roman" w:cs="Calibri"/>
          <w:b/>
          <w:bCs/>
          <w:lang w:eastAsia="pl-PL"/>
        </w:rPr>
        <w:t xml:space="preserve"> </w:t>
      </w:r>
      <w:r w:rsidR="00E9256F" w:rsidRPr="00955648">
        <w:rPr>
          <w:rFonts w:eastAsia="Times New Roman" w:cs="Calibri"/>
          <w:lang w:eastAsia="pl-PL"/>
        </w:rPr>
        <w:t>powoł</w:t>
      </w:r>
      <w:r w:rsidR="00CB2778" w:rsidRPr="00955648">
        <w:rPr>
          <w:rFonts w:eastAsia="Times New Roman" w:cs="Calibri"/>
          <w:lang w:eastAsia="pl-PL"/>
        </w:rPr>
        <w:t>ywany na zasadach określonych w pkt 26 Umowy</w:t>
      </w:r>
      <w:r w:rsidR="00E9256F" w:rsidRPr="00955648">
        <w:rPr>
          <w:rFonts w:eastAsia="Times New Roman" w:cs="Calibri"/>
          <w:lang w:eastAsia="pl-PL"/>
        </w:rPr>
        <w:t xml:space="preserve"> </w:t>
      </w:r>
      <w:r w:rsidR="00CB2778" w:rsidRPr="00955648">
        <w:rPr>
          <w:rFonts w:eastAsia="Times New Roman" w:cs="Calibri"/>
          <w:lang w:eastAsia="pl-PL"/>
        </w:rPr>
        <w:t>komitet o</w:t>
      </w:r>
      <w:r w:rsidR="00E9256F" w:rsidRPr="00955648">
        <w:rPr>
          <w:rFonts w:eastAsia="Times New Roman" w:cs="Calibri"/>
          <w:lang w:eastAsia="pl-PL"/>
        </w:rPr>
        <w:t>dpowiedzialn</w:t>
      </w:r>
      <w:r w:rsidR="00CB2778" w:rsidRPr="00955648">
        <w:rPr>
          <w:rFonts w:eastAsia="Times New Roman" w:cs="Calibri"/>
          <w:lang w:eastAsia="pl-PL"/>
        </w:rPr>
        <w:t>y</w:t>
      </w:r>
      <w:r w:rsidR="00E9256F" w:rsidRPr="00955648">
        <w:rPr>
          <w:rFonts w:eastAsia="Times New Roman" w:cs="Calibri"/>
          <w:lang w:eastAsia="pl-PL"/>
        </w:rPr>
        <w:t xml:space="preserve"> za przeprowadzenie czynności kontrolnych w zakresie prawidłowości realizacji przez Partnera Prywatnego obowiązków wynikających z Umowy;</w:t>
      </w:r>
    </w:p>
    <w:p w14:paraId="10D49B87" w14:textId="77777777" w:rsidR="007B4621" w:rsidRPr="00955648" w:rsidRDefault="007B4621" w:rsidP="007B4621">
      <w:pPr>
        <w:numPr>
          <w:ilvl w:val="0"/>
          <w:numId w:val="4"/>
        </w:numPr>
        <w:spacing w:before="120" w:after="0"/>
        <w:jc w:val="both"/>
        <w:rPr>
          <w:rFonts w:eastAsia="Times New Roman" w:cs="Calibri"/>
          <w:lang w:eastAsia="pl-PL"/>
        </w:rPr>
      </w:pPr>
      <w:r w:rsidRPr="00955648">
        <w:rPr>
          <w:rFonts w:eastAsia="Times New Roman" w:cs="Calibri"/>
          <w:b/>
          <w:bCs/>
          <w:lang w:eastAsia="pl-PL"/>
        </w:rPr>
        <w:t>Koncepcja Projektowa</w:t>
      </w:r>
      <w:r w:rsidRPr="00955648">
        <w:rPr>
          <w:rFonts w:eastAsia="Times New Roman" w:cs="Calibri"/>
          <w:lang w:eastAsia="pl-PL"/>
        </w:rPr>
        <w:t xml:space="preserve"> </w:t>
      </w:r>
      <w:r w:rsidR="005567B4" w:rsidRPr="00955648">
        <w:rPr>
          <w:rFonts w:eastAsia="Times New Roman" w:cs="Calibri"/>
          <w:lang w:eastAsia="pl-PL"/>
        </w:rPr>
        <w:t>–</w:t>
      </w:r>
      <w:r w:rsidRPr="00955648">
        <w:rPr>
          <w:rFonts w:eastAsia="Times New Roman" w:cs="Calibri"/>
          <w:lang w:eastAsia="pl-PL"/>
        </w:rPr>
        <w:t xml:space="preserve"> wykonanie prac przedprojektowych odrębnie dla każdej pozycji z PFU, to jest czynności niezbędnych do prawidłowego wykonania Przedmiotu Umowy, poprzez m.in.: sprawdzenie założeń technicznych zawartych w PFU oraz zaleceń projektowych, uzyskanie warunków technicznych lub uzgodnień od gestorów istniejącego uzbrojenia infrastrukturalnego w zakresie niezbędnym do wykonania i odbioru Robót Budowlanych, uzyskanie warunków technicznych lub uzgodnień od zarządców lub właścicieli terenów, uzyskanie wszelkich materiałów potrzebnych do projektowania, w tym właściwych opinii, uzgodnień rzeczoznawców, gestorów sieci, właścicieli (zarządców) terenów i jednostek administracji, dodatkowych analiz i opracowań pomocniczych, materiałów geodezyjnych w niezbędnym zakresie, itp., w tym pozyskanie map do celów projektowych lub opracowanie podkładów geodezyjnych niezbędnych do projektowania, na podstawie udzielonego przez </w:t>
      </w:r>
      <w:proofErr w:type="gramStart"/>
      <w:r w:rsidRPr="00955648">
        <w:rPr>
          <w:rFonts w:eastAsia="Times New Roman" w:cs="Calibri"/>
          <w:lang w:eastAsia="pl-PL"/>
        </w:rPr>
        <w:t>Podmiot  Publiczny</w:t>
      </w:r>
      <w:proofErr w:type="gramEnd"/>
      <w:r w:rsidRPr="00955648">
        <w:rPr>
          <w:rFonts w:eastAsia="Times New Roman" w:cs="Calibri"/>
          <w:lang w:eastAsia="pl-PL"/>
        </w:rPr>
        <w:t xml:space="preserve"> pełnomocnictwa. </w:t>
      </w:r>
    </w:p>
    <w:p w14:paraId="475F54AC" w14:textId="77777777" w:rsidR="00D01258" w:rsidRPr="00955648" w:rsidRDefault="00FA1EEE" w:rsidP="00FA1EEE">
      <w:pPr>
        <w:numPr>
          <w:ilvl w:val="0"/>
          <w:numId w:val="4"/>
        </w:numPr>
        <w:spacing w:before="120" w:after="0"/>
        <w:jc w:val="both"/>
        <w:rPr>
          <w:rFonts w:eastAsia="Times New Roman" w:cs="Calibri"/>
          <w:lang w:eastAsia="pl-PL"/>
        </w:rPr>
      </w:pPr>
      <w:r w:rsidRPr="00955648">
        <w:rPr>
          <w:rFonts w:eastAsia="Times New Roman" w:cs="Calibri"/>
          <w:b/>
          <w:bCs/>
        </w:rPr>
        <w:t xml:space="preserve">Konserwacja – </w:t>
      </w:r>
      <w:r w:rsidRPr="00955648">
        <w:rPr>
          <w:rFonts w:eastAsia="Times New Roman" w:cs="Calibri"/>
          <w:bCs/>
        </w:rPr>
        <w:t>oznacza wszelkie roboty wykonywane przez Partnera Prywatnego mające na celu utrzymanie Obiektu lub jego elementów w dobrym stanie technicznym, w szczególności mające na celu zmniejszenie szybkości procesu zużycia Obiektu lub jego elementów i uniknięcia ewentualnych wysokich nakładów koniecznych w p</w:t>
      </w:r>
      <w:r w:rsidR="00D01258" w:rsidRPr="00955648">
        <w:rPr>
          <w:rFonts w:eastAsia="Times New Roman" w:cs="Calibri"/>
          <w:bCs/>
        </w:rPr>
        <w:t>rzypadku przeprowadzenia Napraw;</w:t>
      </w:r>
    </w:p>
    <w:p w14:paraId="2F402107" w14:textId="77777777" w:rsidR="00233BFD" w:rsidRPr="00955648" w:rsidRDefault="00233BFD" w:rsidP="001319CF">
      <w:pPr>
        <w:numPr>
          <w:ilvl w:val="0"/>
          <w:numId w:val="4"/>
        </w:numPr>
        <w:spacing w:before="120" w:after="0"/>
        <w:jc w:val="both"/>
        <w:rPr>
          <w:rFonts w:eastAsia="Times New Roman" w:cs="Calibri"/>
          <w:lang w:eastAsia="pl-PL"/>
        </w:rPr>
      </w:pPr>
      <w:r w:rsidRPr="00955648">
        <w:rPr>
          <w:rFonts w:eastAsia="Times New Roman" w:cs="Calibri"/>
          <w:b/>
          <w:bCs/>
          <w:lang w:eastAsia="pl-PL"/>
        </w:rPr>
        <w:t>Koszt</w:t>
      </w:r>
      <w:r w:rsidRPr="00955648">
        <w:rPr>
          <w:rFonts w:eastAsia="Times New Roman" w:cs="Calibri"/>
          <w:lang w:eastAsia="pl-PL"/>
        </w:rPr>
        <w:t xml:space="preserve"> - </w:t>
      </w:r>
      <w:proofErr w:type="gramStart"/>
      <w:r w:rsidR="001319CF" w:rsidRPr="00955648">
        <w:rPr>
          <w:rFonts w:eastAsia="Times New Roman" w:cs="Calibri"/>
          <w:lang w:eastAsia="pl-PL"/>
        </w:rPr>
        <w:t>rozumiany jako</w:t>
      </w:r>
      <w:proofErr w:type="gramEnd"/>
      <w:r w:rsidR="001319CF" w:rsidRPr="00955648">
        <w:rPr>
          <w:rFonts w:eastAsia="Times New Roman" w:cs="Calibri"/>
          <w:lang w:eastAsia="pl-PL"/>
        </w:rPr>
        <w:t xml:space="preserve"> wszelkie uzasadnione i należycie udokumentowane wydatki poniesione przez Wykonawcę pozostające w bezpośrednim związku z realizacją Przedsięwzięcia, włącznie z narzutami i innymi obciążeniami, lecz z wyłączeniem zysku; </w:t>
      </w:r>
    </w:p>
    <w:p w14:paraId="4A3FDB84" w14:textId="77777777" w:rsidR="000C50E1" w:rsidRPr="00955648" w:rsidRDefault="00D01258" w:rsidP="000C50E1">
      <w:pPr>
        <w:numPr>
          <w:ilvl w:val="0"/>
          <w:numId w:val="4"/>
        </w:numPr>
        <w:spacing w:before="120" w:after="0"/>
        <w:jc w:val="both"/>
        <w:rPr>
          <w:rFonts w:eastAsia="Times New Roman" w:cs="Calibri"/>
          <w:lang w:eastAsia="pl-PL"/>
        </w:rPr>
      </w:pPr>
      <w:r w:rsidRPr="00955648">
        <w:rPr>
          <w:rFonts w:eastAsia="Times New Roman" w:cs="Calibri"/>
          <w:b/>
          <w:bCs/>
        </w:rPr>
        <w:t>Koszty Inwestycyjne –</w:t>
      </w:r>
      <w:r w:rsidRPr="00955648">
        <w:rPr>
          <w:rFonts w:eastAsia="Times New Roman" w:cs="Calibri"/>
          <w:bCs/>
        </w:rPr>
        <w:t xml:space="preserve"> łączne koszty netto, obejmujące Finansowanie i wykonanie Robót Budowlanych. Przez Koszty Inwestycyjne należy rozumieć wszystkie koszty poniesione przez Partnera </w:t>
      </w:r>
      <w:r w:rsidR="00DD35CD" w:rsidRPr="00955648">
        <w:rPr>
          <w:rFonts w:eastAsia="Times New Roman" w:cs="Calibri"/>
          <w:bCs/>
        </w:rPr>
        <w:t>P</w:t>
      </w:r>
      <w:r w:rsidRPr="00955648">
        <w:rPr>
          <w:rFonts w:eastAsia="Times New Roman" w:cs="Calibri"/>
          <w:bCs/>
        </w:rPr>
        <w:t xml:space="preserve">rywatnego od dnia zawarcia Umowy do dnia uzyskania Pozwolenia na Użytkowanie, w tym koszt Robót Budowlanych, koszt wykonania Dokumentacji </w:t>
      </w:r>
      <w:r w:rsidR="00DD35CD" w:rsidRPr="00955648">
        <w:rPr>
          <w:rFonts w:eastAsia="Times New Roman" w:cs="Calibri"/>
          <w:bCs/>
        </w:rPr>
        <w:t>P</w:t>
      </w:r>
      <w:r w:rsidRPr="00955648">
        <w:rPr>
          <w:rFonts w:eastAsia="Times New Roman" w:cs="Calibri"/>
          <w:bCs/>
        </w:rPr>
        <w:t>rojektowej, wszystkie koszty pośrednie, koszty pozyskania Finansowania i Finansowanie</w:t>
      </w:r>
      <w:r w:rsidR="00F91E60" w:rsidRPr="00955648">
        <w:rPr>
          <w:rFonts w:eastAsia="Times New Roman" w:cs="Calibri"/>
          <w:bCs/>
        </w:rPr>
        <w:t xml:space="preserve"> na Etapie Przygotowawczym i Inwestycyjnym</w:t>
      </w:r>
      <w:r w:rsidRPr="00955648">
        <w:rPr>
          <w:rFonts w:eastAsia="Times New Roman" w:cs="Calibri"/>
          <w:bCs/>
        </w:rPr>
        <w:t>;</w:t>
      </w:r>
    </w:p>
    <w:p w14:paraId="0ED525DB" w14:textId="77777777" w:rsidR="00F11200" w:rsidRPr="00955648" w:rsidRDefault="003D40DA" w:rsidP="00F11200">
      <w:pPr>
        <w:numPr>
          <w:ilvl w:val="0"/>
          <w:numId w:val="4"/>
        </w:numPr>
        <w:spacing w:before="120" w:after="0"/>
        <w:jc w:val="both"/>
        <w:rPr>
          <w:rFonts w:eastAsia="Times New Roman" w:cs="Calibri"/>
          <w:lang w:eastAsia="pl-PL"/>
        </w:rPr>
      </w:pPr>
      <w:r w:rsidRPr="00955648">
        <w:rPr>
          <w:rFonts w:eastAsia="Times New Roman" w:cs="Calibri"/>
          <w:b/>
          <w:bCs/>
          <w:lang w:eastAsia="pl-PL"/>
        </w:rPr>
        <w:t>Książka Kontroli</w:t>
      </w:r>
      <w:r w:rsidRPr="00955648">
        <w:rPr>
          <w:rFonts w:eastAsia="Times New Roman" w:cs="Calibri"/>
          <w:lang w:eastAsia="pl-PL"/>
        </w:rPr>
        <w:t xml:space="preserve"> </w:t>
      </w:r>
      <w:r w:rsidR="00F11200" w:rsidRPr="00955648">
        <w:rPr>
          <w:rFonts w:eastAsia="Times New Roman" w:cs="Calibri"/>
          <w:lang w:eastAsia="pl-PL"/>
        </w:rPr>
        <w:t>–</w:t>
      </w:r>
      <w:r w:rsidRPr="00955648">
        <w:rPr>
          <w:rFonts w:eastAsia="Times New Roman" w:cs="Calibri"/>
          <w:lang w:eastAsia="pl-PL"/>
        </w:rPr>
        <w:t xml:space="preserve"> </w:t>
      </w:r>
      <w:r w:rsidR="00736B5D" w:rsidRPr="00955648">
        <w:rPr>
          <w:rFonts w:eastAsia="Times New Roman" w:cs="Calibri"/>
          <w:lang w:eastAsia="pl-PL"/>
        </w:rPr>
        <w:t>dokument przeznaczony</w:t>
      </w:r>
      <w:r w:rsidR="00F11200" w:rsidRPr="00955648">
        <w:rPr>
          <w:rFonts w:eastAsia="Times New Roman" w:cs="Calibri"/>
          <w:lang w:eastAsia="pl-PL"/>
        </w:rPr>
        <w:t xml:space="preserve"> do odnotowywania przez Partnera Prywatnego, w formie wpisów, przebiegu wszystkich kontroli przeprowadzonych przez Komitet Zarządzający, przechowywany w formie pisemnej przez Partnera Prywatnego.  </w:t>
      </w:r>
    </w:p>
    <w:p w14:paraId="221A004D" w14:textId="77777777" w:rsidR="005E3AF0" w:rsidRPr="00955648" w:rsidRDefault="005E3AF0" w:rsidP="007B4621">
      <w:pPr>
        <w:numPr>
          <w:ilvl w:val="0"/>
          <w:numId w:val="4"/>
        </w:numPr>
        <w:spacing w:before="120" w:after="0"/>
        <w:jc w:val="both"/>
        <w:rPr>
          <w:rFonts w:eastAsia="Times New Roman" w:cs="Calibri"/>
          <w:lang w:eastAsia="pl-PL"/>
        </w:rPr>
      </w:pPr>
      <w:r w:rsidRPr="00955648">
        <w:rPr>
          <w:rFonts w:eastAsia="Times New Roman" w:cs="Calibri"/>
          <w:b/>
          <w:bCs/>
        </w:rPr>
        <w:lastRenderedPageBreak/>
        <w:t xml:space="preserve">Nieruchomość </w:t>
      </w:r>
      <w:r w:rsidR="00A40420" w:rsidRPr="00955648">
        <w:rPr>
          <w:rFonts w:eastAsia="Times New Roman" w:cs="Calibri"/>
          <w:b/>
          <w:bCs/>
        </w:rPr>
        <w:t>–</w:t>
      </w:r>
      <w:r w:rsidRPr="00955648">
        <w:rPr>
          <w:rFonts w:eastAsia="Times New Roman" w:cs="Calibri"/>
          <w:b/>
          <w:bCs/>
        </w:rPr>
        <w:t xml:space="preserve"> </w:t>
      </w:r>
      <w:r w:rsidR="00A40420" w:rsidRPr="00955648">
        <w:rPr>
          <w:rFonts w:eastAsia="Times New Roman" w:cs="Calibri"/>
          <w:bCs/>
        </w:rPr>
        <w:t xml:space="preserve">oznacza </w:t>
      </w:r>
      <w:r w:rsidR="009C2964" w:rsidRPr="00955648">
        <w:rPr>
          <w:rFonts w:eastAsia="Times New Roman" w:cs="Calibri"/>
          <w:bCs/>
        </w:rPr>
        <w:t xml:space="preserve">część </w:t>
      </w:r>
      <w:r w:rsidR="00A40420" w:rsidRPr="00955648">
        <w:rPr>
          <w:rFonts w:eastAsia="Times New Roman" w:cs="Calibri"/>
          <w:bCs/>
        </w:rPr>
        <w:t>nieruchomości</w:t>
      </w:r>
      <w:r w:rsidR="00064DE8" w:rsidRPr="00955648">
        <w:rPr>
          <w:rFonts w:eastAsia="Times New Roman" w:cs="Calibri"/>
          <w:bCs/>
        </w:rPr>
        <w:t xml:space="preserve"> (pasów drogowych)</w:t>
      </w:r>
      <w:r w:rsidR="00A40420" w:rsidRPr="00955648">
        <w:rPr>
          <w:rFonts w:eastAsia="Times New Roman" w:cs="Calibri"/>
          <w:bCs/>
        </w:rPr>
        <w:t xml:space="preserve">, na których zlokalizowane będzie Przedsięwzięcie, </w:t>
      </w:r>
      <w:r w:rsidR="003739DE" w:rsidRPr="00955648">
        <w:rPr>
          <w:rFonts w:eastAsia="Times New Roman" w:cs="Calibri"/>
          <w:bCs/>
        </w:rPr>
        <w:t>zgodnie z pkt 2. PFU,</w:t>
      </w:r>
      <w:r w:rsidR="009C2964" w:rsidRPr="00955648">
        <w:rPr>
          <w:rFonts w:eastAsia="Times New Roman" w:cs="Calibri"/>
          <w:bCs/>
        </w:rPr>
        <w:t xml:space="preserve"> która obejmuje </w:t>
      </w:r>
      <w:r w:rsidR="009C2964" w:rsidRPr="00955648">
        <w:rPr>
          <w:rFonts w:cs="Calibri"/>
        </w:rPr>
        <w:t>odległości po 0,5 m z każdej strony licząc od projektowanej i budowanej osi linii kablowej oraz montowanych urządzeń oświetleniowych,</w:t>
      </w:r>
    </w:p>
    <w:p w14:paraId="5A8A5739" w14:textId="04729D60" w:rsidR="00E4774B" w:rsidRPr="00955648" w:rsidRDefault="00E4774B" w:rsidP="00181064">
      <w:pPr>
        <w:numPr>
          <w:ilvl w:val="0"/>
          <w:numId w:val="4"/>
        </w:numPr>
        <w:spacing w:before="120" w:after="0"/>
        <w:jc w:val="both"/>
        <w:rPr>
          <w:rFonts w:eastAsia="Times New Roman" w:cs="Calibri"/>
          <w:i/>
          <w:lang w:eastAsia="pl-PL"/>
        </w:rPr>
      </w:pPr>
      <w:r w:rsidRPr="00955648">
        <w:rPr>
          <w:rFonts w:eastAsia="Times New Roman" w:cs="Calibri"/>
          <w:b/>
          <w:bCs/>
        </w:rPr>
        <w:t xml:space="preserve">Oferta – </w:t>
      </w:r>
      <w:r w:rsidRPr="00955648">
        <w:rPr>
          <w:rFonts w:eastAsia="Times New Roman" w:cs="Calibri"/>
          <w:bCs/>
        </w:rPr>
        <w:t xml:space="preserve">oferta złożona w postępowaniu </w:t>
      </w:r>
      <w:r w:rsidR="00DE47FE" w:rsidRPr="00955648">
        <w:rPr>
          <w:rFonts w:eastAsia="Times New Roman" w:cs="Calibri"/>
          <w:bCs/>
        </w:rPr>
        <w:t>prowadzonym w trybie</w:t>
      </w:r>
      <w:r w:rsidR="00DE47FE" w:rsidRPr="00955648">
        <w:rPr>
          <w:rFonts w:eastAsia="Times New Roman" w:cs="Calibri"/>
          <w:bCs/>
          <w:strike/>
        </w:rPr>
        <w:t xml:space="preserve"> </w:t>
      </w:r>
      <w:r w:rsidR="00181064" w:rsidRPr="00955648">
        <w:rPr>
          <w:rFonts w:eastAsia="Times New Roman" w:cs="Calibri"/>
          <w:bCs/>
        </w:rPr>
        <w:t>przetargu nieograniczonego</w:t>
      </w:r>
      <w:r w:rsidR="00DE47FE" w:rsidRPr="00955648">
        <w:rPr>
          <w:rFonts w:eastAsia="Times New Roman" w:cs="Calibri"/>
          <w:bCs/>
        </w:rPr>
        <w:t xml:space="preserve"> pn. </w:t>
      </w:r>
      <w:r w:rsidR="00DE47FE" w:rsidRPr="00955648">
        <w:rPr>
          <w:rFonts w:eastAsia="Times New Roman" w:cs="Calibri"/>
          <w:bCs/>
          <w:i/>
        </w:rPr>
        <w:t>„</w:t>
      </w:r>
      <w:r w:rsidR="00181064" w:rsidRPr="00955648">
        <w:rPr>
          <w:rFonts w:eastAsia="Times New Roman" w:cs="Calibri"/>
          <w:bCs/>
          <w:i/>
        </w:rPr>
        <w:t>Zaprojektowanie i b</w:t>
      </w:r>
      <w:r w:rsidR="00DE47FE" w:rsidRPr="00955648">
        <w:rPr>
          <w:rFonts w:eastAsia="Times New Roman" w:cs="Calibri"/>
          <w:bCs/>
          <w:i/>
        </w:rPr>
        <w:t>udowa energooszczędnego oświetlenia drogowego typu LED w pasach drogowych dróg gminnych dla wybranych miejscowości na terenie Gminy Kobylnica w formule partnerstwa publiczno-prywatnego</w:t>
      </w:r>
      <w:r w:rsidR="00181064" w:rsidRPr="00955648">
        <w:rPr>
          <w:rFonts w:eastAsia="Times New Roman" w:cs="Calibri"/>
          <w:bCs/>
          <w:i/>
        </w:rPr>
        <w:t xml:space="preserve"> wraz z jego utrzymaniem</w:t>
      </w:r>
      <w:r w:rsidR="00DE47FE" w:rsidRPr="00955648">
        <w:rPr>
          <w:rFonts w:eastAsia="Times New Roman" w:cs="Calibri"/>
          <w:bCs/>
          <w:i/>
        </w:rPr>
        <w:t>”</w:t>
      </w:r>
      <w:r w:rsidR="00D849D0" w:rsidRPr="00955648">
        <w:rPr>
          <w:rFonts w:cs="Calibri"/>
        </w:rPr>
        <w:t xml:space="preserve"> </w:t>
      </w:r>
      <w:r w:rsidR="00181064" w:rsidRPr="00955648">
        <w:rPr>
          <w:rFonts w:cs="Calibri"/>
        </w:rPr>
        <w:t xml:space="preserve">(znak postępowania: GIF.271.1.2020.IP) </w:t>
      </w:r>
      <w:r w:rsidR="00DD35CD" w:rsidRPr="00955648">
        <w:rPr>
          <w:rFonts w:eastAsia="Times New Roman" w:cs="Calibri"/>
          <w:bCs/>
        </w:rPr>
        <w:t xml:space="preserve">i </w:t>
      </w:r>
      <w:proofErr w:type="gramStart"/>
      <w:r w:rsidR="00DD35CD" w:rsidRPr="00955648">
        <w:rPr>
          <w:rFonts w:eastAsia="Times New Roman" w:cs="Calibri"/>
          <w:bCs/>
        </w:rPr>
        <w:t>wybrana jako</w:t>
      </w:r>
      <w:proofErr w:type="gramEnd"/>
      <w:r w:rsidR="00DD35CD" w:rsidRPr="00955648">
        <w:rPr>
          <w:rFonts w:eastAsia="Times New Roman" w:cs="Calibri"/>
          <w:bCs/>
        </w:rPr>
        <w:t xml:space="preserve"> najkorzystniejsza;</w:t>
      </w:r>
    </w:p>
    <w:p w14:paraId="084109F7" w14:textId="77777777" w:rsidR="006E2367" w:rsidRPr="00955648" w:rsidRDefault="00EB1C9F" w:rsidP="007B4621">
      <w:pPr>
        <w:numPr>
          <w:ilvl w:val="0"/>
          <w:numId w:val="4"/>
        </w:numPr>
        <w:spacing w:before="120" w:after="0"/>
        <w:jc w:val="both"/>
        <w:rPr>
          <w:rFonts w:eastAsia="Times New Roman" w:cs="Calibri"/>
          <w:lang w:eastAsia="pl-PL"/>
        </w:rPr>
      </w:pPr>
      <w:r w:rsidRPr="00955648">
        <w:rPr>
          <w:rFonts w:eastAsia="Times New Roman" w:cs="Calibri"/>
          <w:b/>
          <w:lang w:eastAsia="pl-PL"/>
        </w:rPr>
        <w:t>O</w:t>
      </w:r>
      <w:r w:rsidR="006E2367" w:rsidRPr="00955648">
        <w:rPr>
          <w:rFonts w:eastAsia="Times New Roman" w:cs="Calibri"/>
          <w:b/>
          <w:lang w:eastAsia="pl-PL"/>
        </w:rPr>
        <w:t xml:space="preserve">biekt </w:t>
      </w:r>
      <w:r w:rsidR="00736B5D" w:rsidRPr="00955648">
        <w:rPr>
          <w:rFonts w:eastAsia="Times New Roman" w:cs="Calibri"/>
          <w:b/>
          <w:lang w:eastAsia="pl-PL"/>
        </w:rPr>
        <w:t xml:space="preserve">- </w:t>
      </w:r>
      <w:r w:rsidR="00736B5D" w:rsidRPr="00955648">
        <w:rPr>
          <w:rFonts w:eastAsia="Times New Roman" w:cs="Calibri"/>
        </w:rPr>
        <w:t>należy</w:t>
      </w:r>
      <w:r w:rsidR="00876C29" w:rsidRPr="00955648">
        <w:rPr>
          <w:rFonts w:cs="Calibri"/>
          <w:lang w:eastAsia="pl-PL"/>
        </w:rPr>
        <w:t xml:space="preserve"> przez to rozumieć </w:t>
      </w:r>
      <w:r w:rsidR="00876C29" w:rsidRPr="00955648">
        <w:rPr>
          <w:rFonts w:cs="Calibri"/>
        </w:rPr>
        <w:t xml:space="preserve">część </w:t>
      </w:r>
      <w:r w:rsidR="007B4621" w:rsidRPr="00955648">
        <w:rPr>
          <w:rFonts w:cs="Calibri"/>
        </w:rPr>
        <w:t>P</w:t>
      </w:r>
      <w:r w:rsidR="00876C29" w:rsidRPr="00955648">
        <w:rPr>
          <w:rFonts w:cs="Calibri"/>
        </w:rPr>
        <w:t xml:space="preserve">rzedmiotu Umowy wyodrębnioną na podstawie PFU, będącą przedmiotem planowania, projektowania </w:t>
      </w:r>
      <w:r w:rsidR="00736B5D" w:rsidRPr="00955648">
        <w:rPr>
          <w:rFonts w:cs="Calibri"/>
        </w:rPr>
        <w:t>i rozliczania</w:t>
      </w:r>
      <w:r w:rsidR="00876C29" w:rsidRPr="00955648">
        <w:rPr>
          <w:rFonts w:cs="Calibri"/>
        </w:rPr>
        <w:t xml:space="preserve">. Zestawienie wszystkich obiektów składających się na </w:t>
      </w:r>
      <w:r w:rsidR="007B4621" w:rsidRPr="00955648">
        <w:rPr>
          <w:rFonts w:cs="Calibri"/>
        </w:rPr>
        <w:t>P</w:t>
      </w:r>
      <w:r w:rsidR="00876C29" w:rsidRPr="00955648">
        <w:rPr>
          <w:rFonts w:cs="Calibri"/>
        </w:rPr>
        <w:t xml:space="preserve">rzedmiot Umowy zawiera Załącznik Nr </w:t>
      </w:r>
      <w:r w:rsidR="007B4621" w:rsidRPr="00955648">
        <w:rPr>
          <w:rFonts w:cs="Calibri"/>
        </w:rPr>
        <w:t>5</w:t>
      </w:r>
      <w:r w:rsidR="00876C29" w:rsidRPr="00955648">
        <w:rPr>
          <w:rFonts w:cs="Calibri"/>
        </w:rPr>
        <w:t xml:space="preserve"> do Umowy</w:t>
      </w:r>
      <w:r w:rsidR="00D5035E" w:rsidRPr="00955648">
        <w:rPr>
          <w:rFonts w:cs="Calibri"/>
        </w:rPr>
        <w:t xml:space="preserve"> (PFU)</w:t>
      </w:r>
      <w:r w:rsidR="00876C29" w:rsidRPr="00955648">
        <w:rPr>
          <w:rFonts w:cs="Calibri"/>
        </w:rPr>
        <w:t>,</w:t>
      </w:r>
      <w:r w:rsidR="00C735E4" w:rsidRPr="00955648">
        <w:rPr>
          <w:rFonts w:cs="Calibri"/>
        </w:rPr>
        <w:t xml:space="preserve"> </w:t>
      </w:r>
    </w:p>
    <w:p w14:paraId="4227FD8E" w14:textId="77777777" w:rsidR="000001BD" w:rsidRPr="00955648" w:rsidRDefault="00F52FDB" w:rsidP="00340D7B">
      <w:pPr>
        <w:numPr>
          <w:ilvl w:val="0"/>
          <w:numId w:val="4"/>
        </w:numPr>
        <w:spacing w:before="120" w:after="0"/>
        <w:ind w:left="720"/>
        <w:jc w:val="both"/>
        <w:rPr>
          <w:rFonts w:eastAsia="Times New Roman" w:cs="Calibri"/>
          <w:lang w:eastAsia="pl-PL"/>
        </w:rPr>
      </w:pPr>
      <w:r w:rsidRPr="00955648">
        <w:rPr>
          <w:rFonts w:eastAsia="Times New Roman" w:cs="Calibri"/>
          <w:b/>
          <w:lang w:eastAsia="pl-PL"/>
        </w:rPr>
        <w:t xml:space="preserve">Okres Rozliczeniowy – </w:t>
      </w:r>
      <w:r w:rsidRPr="00955648">
        <w:rPr>
          <w:rFonts w:eastAsia="Times New Roman" w:cs="Calibri"/>
          <w:lang w:eastAsia="pl-PL"/>
        </w:rPr>
        <w:t xml:space="preserve">okres, za który Partner Prywatny będzie otrzymywał kwotę należnego w tym okresie Wynagrodzenia, wynoszący 1 (słownie: jeden) miesiąc kalendarzowy; </w:t>
      </w:r>
    </w:p>
    <w:p w14:paraId="41EB2585" w14:textId="77777777" w:rsidR="00D01258" w:rsidRPr="00955648" w:rsidRDefault="00F52FDB" w:rsidP="00D01258">
      <w:pPr>
        <w:numPr>
          <w:ilvl w:val="0"/>
          <w:numId w:val="4"/>
        </w:numPr>
        <w:spacing w:before="120" w:after="0"/>
        <w:jc w:val="both"/>
        <w:rPr>
          <w:rFonts w:eastAsia="Times New Roman" w:cs="Calibri"/>
          <w:lang w:eastAsia="pl-PL"/>
        </w:rPr>
      </w:pPr>
      <w:r w:rsidRPr="00955648">
        <w:rPr>
          <w:rFonts w:eastAsia="Times New Roman" w:cs="Calibri"/>
          <w:b/>
          <w:lang w:eastAsia="pl-PL"/>
        </w:rPr>
        <w:t xml:space="preserve">Opłata za Dostępność </w:t>
      </w:r>
      <w:r w:rsidR="00736B5D" w:rsidRPr="00955648">
        <w:rPr>
          <w:rFonts w:eastAsia="Times New Roman" w:cs="Calibri"/>
          <w:lang w:eastAsia="pl-PL"/>
        </w:rPr>
        <w:t>– jest</w:t>
      </w:r>
      <w:r w:rsidRPr="00955648">
        <w:rPr>
          <w:rFonts w:eastAsia="Times New Roman" w:cs="Calibri"/>
          <w:lang w:eastAsia="pl-PL"/>
        </w:rPr>
        <w:t xml:space="preserve"> to wynagrodzenie Partnera Prywatnego świadczone na jego rzecz w formie zapłaty sumy pieniężnej, przekazywanej cyklicznie przez Podmiot Publiczny będącej ekwiwalentem za wykonywane przez Partnera Prywatnego obowiązki wynikające z Umowy, uzależnionej od faktycznej dostępności przedmiotu Umowy, ponoszonej przez Podmiot Publiczny dopiero na Etapie Utrzymania;</w:t>
      </w:r>
    </w:p>
    <w:p w14:paraId="750B3448" w14:textId="77777777" w:rsidR="004A380F" w:rsidRPr="00955648" w:rsidRDefault="004A380F" w:rsidP="00254BEE">
      <w:pPr>
        <w:numPr>
          <w:ilvl w:val="0"/>
          <w:numId w:val="4"/>
        </w:numPr>
        <w:spacing w:before="120" w:after="0"/>
        <w:jc w:val="both"/>
        <w:rPr>
          <w:rFonts w:eastAsia="Times New Roman" w:cs="Calibri"/>
          <w:lang w:eastAsia="pl-PL"/>
        </w:rPr>
      </w:pPr>
      <w:r w:rsidRPr="00955648">
        <w:rPr>
          <w:rFonts w:eastAsia="Times New Roman" w:cs="Calibri"/>
          <w:b/>
          <w:bCs/>
          <w:lang w:eastAsia="pl-PL"/>
        </w:rPr>
        <w:t>Plan Naprawczy</w:t>
      </w:r>
      <w:r w:rsidRPr="00955648">
        <w:rPr>
          <w:rFonts w:eastAsia="Times New Roman" w:cs="Calibri"/>
          <w:lang w:eastAsia="pl-PL"/>
        </w:rPr>
        <w:t xml:space="preserve"> </w:t>
      </w:r>
      <w:r w:rsidR="00254BEE" w:rsidRPr="00955648">
        <w:rPr>
          <w:rFonts w:eastAsia="Times New Roman" w:cs="Calibri"/>
          <w:lang w:eastAsia="pl-PL"/>
        </w:rPr>
        <w:t>–</w:t>
      </w:r>
      <w:r w:rsidRPr="00955648">
        <w:rPr>
          <w:rFonts w:eastAsia="Times New Roman" w:cs="Calibri"/>
          <w:lang w:eastAsia="pl-PL"/>
        </w:rPr>
        <w:t xml:space="preserve"> </w:t>
      </w:r>
      <w:r w:rsidR="00254BEE" w:rsidRPr="00955648">
        <w:rPr>
          <w:rFonts w:eastAsia="Times New Roman" w:cs="Calibri"/>
          <w:lang w:eastAsia="pl-PL"/>
        </w:rPr>
        <w:t xml:space="preserve">plan opracowywany przez Stronę Umowy zgodnie z postanowieniami określonymi w pkt 32 Umowy, określający sposób usunięcia skutków okoliczności stanowiących podstawę do wypowiedzenia lub odstąpienia od Umowy; </w:t>
      </w:r>
    </w:p>
    <w:p w14:paraId="49E1AD9C" w14:textId="4C48418D" w:rsidR="007B4621" w:rsidRPr="00955648" w:rsidRDefault="007B4621" w:rsidP="007B4621">
      <w:pPr>
        <w:numPr>
          <w:ilvl w:val="0"/>
          <w:numId w:val="4"/>
        </w:numPr>
        <w:spacing w:before="120" w:after="0"/>
        <w:jc w:val="both"/>
        <w:rPr>
          <w:rFonts w:eastAsia="Times New Roman" w:cs="Calibri"/>
          <w:lang w:eastAsia="pl-PL"/>
        </w:rPr>
      </w:pPr>
      <w:r w:rsidRPr="00955648">
        <w:rPr>
          <w:rFonts w:eastAsia="Times New Roman" w:cs="Calibri"/>
          <w:b/>
        </w:rPr>
        <w:t>Pozwolenie na Budowę –</w:t>
      </w:r>
      <w:r w:rsidRPr="00955648">
        <w:rPr>
          <w:rFonts w:eastAsia="Times New Roman" w:cs="Calibri"/>
          <w:lang w:eastAsia="pl-PL"/>
        </w:rPr>
        <w:t xml:space="preserve"> decyzja administracyjna, o której mowa w art. 28 ust. 1 </w:t>
      </w:r>
      <w:r w:rsidR="00D5035E" w:rsidRPr="00955648">
        <w:rPr>
          <w:rFonts w:eastAsia="Times New Roman" w:cs="Calibri"/>
          <w:lang w:eastAsia="pl-PL"/>
        </w:rPr>
        <w:t>Prawa Budowlanego;</w:t>
      </w:r>
    </w:p>
    <w:p w14:paraId="71CE1276" w14:textId="0B079EA9" w:rsidR="007B4621" w:rsidRPr="00955648" w:rsidRDefault="007B4621" w:rsidP="007B4621">
      <w:pPr>
        <w:numPr>
          <w:ilvl w:val="0"/>
          <w:numId w:val="4"/>
        </w:numPr>
        <w:spacing w:before="120" w:after="0"/>
        <w:jc w:val="both"/>
        <w:rPr>
          <w:rFonts w:eastAsia="Times New Roman" w:cs="Calibri"/>
          <w:lang w:eastAsia="pl-PL"/>
        </w:rPr>
      </w:pPr>
      <w:r w:rsidRPr="00955648">
        <w:rPr>
          <w:rFonts w:eastAsia="Times New Roman" w:cs="Calibri"/>
          <w:b/>
          <w:lang w:eastAsia="pl-PL"/>
        </w:rPr>
        <w:t>Pozwolenie na Użytkowanie</w:t>
      </w:r>
      <w:r w:rsidRPr="00955648">
        <w:rPr>
          <w:rFonts w:eastAsia="Times New Roman" w:cs="Calibri"/>
          <w:lang w:eastAsia="pl-PL"/>
        </w:rPr>
        <w:t xml:space="preserve"> - decyzja administracyjna, o której mowa w art. 55 </w:t>
      </w:r>
      <w:r w:rsidR="00D5035E" w:rsidRPr="00955648">
        <w:rPr>
          <w:rFonts w:eastAsia="Times New Roman" w:cs="Calibri"/>
          <w:lang w:eastAsia="pl-PL"/>
        </w:rPr>
        <w:t>Prawa Budowlanego;</w:t>
      </w:r>
    </w:p>
    <w:p w14:paraId="09A71C13" w14:textId="77777777" w:rsidR="005850AB" w:rsidRPr="00955648" w:rsidRDefault="005850AB" w:rsidP="00B61506">
      <w:pPr>
        <w:numPr>
          <w:ilvl w:val="0"/>
          <w:numId w:val="4"/>
        </w:numPr>
        <w:spacing w:before="120" w:after="0"/>
        <w:jc w:val="both"/>
        <w:rPr>
          <w:rFonts w:eastAsia="Times New Roman" w:cs="Calibri"/>
          <w:lang w:eastAsia="pl-PL"/>
        </w:rPr>
      </w:pPr>
      <w:r w:rsidRPr="00955648">
        <w:rPr>
          <w:rFonts w:eastAsia="Times New Roman" w:cs="Calibri"/>
          <w:b/>
          <w:bCs/>
          <w:lang w:eastAsia="pl-PL"/>
        </w:rPr>
        <w:t>Prawo Żądania Zmiany</w:t>
      </w:r>
      <w:r w:rsidRPr="00955648">
        <w:rPr>
          <w:rFonts w:eastAsia="Times New Roman" w:cs="Calibri"/>
          <w:lang w:eastAsia="pl-PL"/>
        </w:rPr>
        <w:t xml:space="preserve"> </w:t>
      </w:r>
      <w:r w:rsidR="009A34D7" w:rsidRPr="00955648">
        <w:rPr>
          <w:rFonts w:eastAsia="Times New Roman" w:cs="Calibri"/>
          <w:lang w:eastAsia="pl-PL"/>
        </w:rPr>
        <w:t>–</w:t>
      </w:r>
      <w:r w:rsidRPr="00955648">
        <w:rPr>
          <w:rFonts w:eastAsia="Times New Roman" w:cs="Calibri"/>
          <w:lang w:eastAsia="pl-PL"/>
        </w:rPr>
        <w:t xml:space="preserve"> </w:t>
      </w:r>
      <w:r w:rsidR="009A34D7" w:rsidRPr="00955648">
        <w:rPr>
          <w:rFonts w:eastAsia="Times New Roman" w:cs="Calibri"/>
          <w:lang w:eastAsia="pl-PL"/>
        </w:rPr>
        <w:t>uprawnienie przysługujące Partnerowi Prywatnemu na podstawie pkt 29.</w:t>
      </w:r>
      <w:r w:rsidR="00B61506" w:rsidRPr="00955648">
        <w:rPr>
          <w:rFonts w:eastAsia="Times New Roman" w:cs="Calibri"/>
          <w:lang w:eastAsia="pl-PL"/>
        </w:rPr>
        <w:t>2</w:t>
      </w:r>
      <w:r w:rsidR="009A34D7" w:rsidRPr="00955648">
        <w:rPr>
          <w:rFonts w:eastAsia="Times New Roman" w:cs="Calibri"/>
          <w:lang w:eastAsia="pl-PL"/>
        </w:rPr>
        <w:t>. Umowy</w:t>
      </w:r>
      <w:r w:rsidR="00B61506" w:rsidRPr="00955648">
        <w:rPr>
          <w:rFonts w:eastAsia="Times New Roman" w:cs="Calibri"/>
          <w:lang w:eastAsia="pl-PL"/>
        </w:rPr>
        <w:t xml:space="preserve">, w przypadku wystąpienia Zdarzenia Nieprzewidywalnego, w </w:t>
      </w:r>
      <w:proofErr w:type="gramStart"/>
      <w:r w:rsidR="00B61506" w:rsidRPr="00955648">
        <w:rPr>
          <w:rFonts w:eastAsia="Times New Roman" w:cs="Calibri"/>
          <w:lang w:eastAsia="pl-PL"/>
        </w:rPr>
        <w:t>ramach którego</w:t>
      </w:r>
      <w:proofErr w:type="gramEnd"/>
      <w:r w:rsidR="00B61506" w:rsidRPr="00955648">
        <w:rPr>
          <w:rFonts w:eastAsia="Times New Roman" w:cs="Calibri"/>
          <w:lang w:eastAsia="pl-PL"/>
        </w:rPr>
        <w:t xml:space="preserve"> Partner Prywatny jest uprawniony do żądania od Podmiotu Publicznego podjęcia jednego lub kilku poniższych Działań Zaradczych wymienionych w pkt 29.3. Umowy; </w:t>
      </w:r>
    </w:p>
    <w:p w14:paraId="6AECCB42" w14:textId="77777777" w:rsidR="00C75932" w:rsidRPr="00955648" w:rsidRDefault="00C75932" w:rsidP="00F23BA6">
      <w:pPr>
        <w:numPr>
          <w:ilvl w:val="0"/>
          <w:numId w:val="4"/>
        </w:numPr>
        <w:spacing w:before="120" w:after="0"/>
        <w:jc w:val="both"/>
        <w:rPr>
          <w:rFonts w:eastAsia="Times New Roman" w:cs="Calibri"/>
          <w:lang w:eastAsia="pl-PL"/>
        </w:rPr>
      </w:pPr>
      <w:r w:rsidRPr="00955648">
        <w:rPr>
          <w:rFonts w:eastAsia="Times New Roman" w:cs="Calibri"/>
          <w:b/>
          <w:bCs/>
          <w:lang w:eastAsia="pl-PL"/>
        </w:rPr>
        <w:t>Prawo Budowlane</w:t>
      </w:r>
      <w:r w:rsidRPr="00955648">
        <w:rPr>
          <w:rFonts w:eastAsia="Times New Roman" w:cs="Calibri"/>
          <w:lang w:eastAsia="pl-PL"/>
        </w:rPr>
        <w:t xml:space="preserve"> - </w:t>
      </w:r>
      <w:r w:rsidR="00F23BA6" w:rsidRPr="00955648">
        <w:rPr>
          <w:rFonts w:eastAsia="Times New Roman" w:cs="Calibri"/>
          <w:lang w:eastAsia="pl-PL"/>
        </w:rPr>
        <w:t>ustawa z dnia 7 lipca 1994 r. - Prawo budowlane (</w:t>
      </w:r>
      <w:proofErr w:type="spellStart"/>
      <w:r w:rsidR="00F23BA6" w:rsidRPr="00955648">
        <w:rPr>
          <w:rFonts w:eastAsia="Times New Roman" w:cs="Calibri"/>
          <w:lang w:eastAsia="pl-PL"/>
        </w:rPr>
        <w:t>t.j</w:t>
      </w:r>
      <w:proofErr w:type="spellEnd"/>
      <w:r w:rsidR="00F23BA6" w:rsidRPr="00955648">
        <w:rPr>
          <w:rFonts w:eastAsia="Times New Roman" w:cs="Calibri"/>
          <w:lang w:eastAsia="pl-PL"/>
        </w:rPr>
        <w:t xml:space="preserve">. Dz. U. </w:t>
      </w:r>
      <w:proofErr w:type="gramStart"/>
      <w:r w:rsidR="00F23BA6" w:rsidRPr="00955648">
        <w:rPr>
          <w:rFonts w:eastAsia="Times New Roman" w:cs="Calibri"/>
          <w:lang w:eastAsia="pl-PL"/>
        </w:rPr>
        <w:t>z</w:t>
      </w:r>
      <w:proofErr w:type="gramEnd"/>
      <w:r w:rsidR="00F23BA6" w:rsidRPr="00955648">
        <w:rPr>
          <w:rFonts w:eastAsia="Times New Roman" w:cs="Calibri"/>
          <w:lang w:eastAsia="pl-PL"/>
        </w:rPr>
        <w:t xml:space="preserve"> 2019 r., poz. 1186, 1309, 1524, 1696, 1712, 1815 z </w:t>
      </w:r>
      <w:proofErr w:type="spellStart"/>
      <w:r w:rsidR="00F23BA6" w:rsidRPr="00955648">
        <w:rPr>
          <w:rFonts w:eastAsia="Times New Roman" w:cs="Calibri"/>
          <w:lang w:eastAsia="pl-PL"/>
        </w:rPr>
        <w:t>późn</w:t>
      </w:r>
      <w:proofErr w:type="spellEnd"/>
      <w:r w:rsidR="00F23BA6" w:rsidRPr="00955648">
        <w:rPr>
          <w:rFonts w:eastAsia="Times New Roman" w:cs="Calibri"/>
          <w:lang w:eastAsia="pl-PL"/>
        </w:rPr>
        <w:t xml:space="preserve">. </w:t>
      </w:r>
      <w:proofErr w:type="gramStart"/>
      <w:r w:rsidR="00F23BA6" w:rsidRPr="00955648">
        <w:rPr>
          <w:rFonts w:eastAsia="Times New Roman" w:cs="Calibri"/>
          <w:lang w:eastAsia="pl-PL"/>
        </w:rPr>
        <w:t>zm</w:t>
      </w:r>
      <w:proofErr w:type="gramEnd"/>
      <w:r w:rsidR="00F23BA6" w:rsidRPr="00955648">
        <w:rPr>
          <w:rFonts w:eastAsia="Times New Roman" w:cs="Calibri"/>
          <w:lang w:eastAsia="pl-PL"/>
        </w:rPr>
        <w:t>.)</w:t>
      </w:r>
    </w:p>
    <w:p w14:paraId="193E9253" w14:textId="77777777" w:rsidR="00305EB5" w:rsidRPr="00955648" w:rsidRDefault="00305EB5" w:rsidP="00305EB5">
      <w:pPr>
        <w:numPr>
          <w:ilvl w:val="0"/>
          <w:numId w:val="4"/>
        </w:numPr>
        <w:spacing w:before="120" w:after="0"/>
        <w:jc w:val="both"/>
        <w:rPr>
          <w:rFonts w:eastAsia="Times New Roman" w:cs="Calibri"/>
          <w:lang w:eastAsia="pl-PL"/>
        </w:rPr>
      </w:pPr>
      <w:r w:rsidRPr="00955648">
        <w:rPr>
          <w:rFonts w:eastAsia="Times New Roman" w:cs="Calibri"/>
          <w:b/>
          <w:bCs/>
          <w:lang w:eastAsia="pl-PL"/>
        </w:rPr>
        <w:t>Procedura Rozstrzygania Sporów</w:t>
      </w:r>
      <w:r w:rsidRPr="00955648">
        <w:rPr>
          <w:rFonts w:eastAsia="Times New Roman" w:cs="Calibri"/>
          <w:lang w:eastAsia="pl-PL"/>
        </w:rPr>
        <w:t xml:space="preserve"> – procedura opisana w Umowie, stosowana w przypadku powstania między Stronami sporu w związku z jakimkolwiek aspe</w:t>
      </w:r>
      <w:r w:rsidR="008E722B" w:rsidRPr="00955648">
        <w:rPr>
          <w:rFonts w:eastAsia="Times New Roman" w:cs="Calibri"/>
          <w:lang w:eastAsia="pl-PL"/>
        </w:rPr>
        <w:t>ktem realizacji Przedsięwzięcia</w:t>
      </w:r>
    </w:p>
    <w:p w14:paraId="10802AA2" w14:textId="3E5E641B" w:rsidR="00E47CC4" w:rsidRPr="00955648" w:rsidRDefault="00E47CC4" w:rsidP="00181064">
      <w:pPr>
        <w:numPr>
          <w:ilvl w:val="0"/>
          <w:numId w:val="4"/>
        </w:numPr>
        <w:spacing w:before="120" w:after="0"/>
        <w:jc w:val="both"/>
        <w:rPr>
          <w:rFonts w:eastAsia="Times New Roman" w:cs="Calibri"/>
          <w:lang w:eastAsia="pl-PL"/>
        </w:rPr>
      </w:pPr>
      <w:r w:rsidRPr="00955648">
        <w:rPr>
          <w:rFonts w:eastAsia="Times New Roman" w:cs="Calibri"/>
          <w:b/>
          <w:lang w:eastAsia="pl-PL"/>
        </w:rPr>
        <w:t>Program Funkcjonalno-Użytkowy</w:t>
      </w:r>
      <w:r w:rsidRPr="00955648">
        <w:rPr>
          <w:rFonts w:eastAsia="Times New Roman" w:cs="Calibri"/>
          <w:lang w:eastAsia="pl-PL"/>
        </w:rPr>
        <w:t xml:space="preserve"> (zwany dalej </w:t>
      </w:r>
      <w:r w:rsidRPr="00955648">
        <w:rPr>
          <w:rFonts w:eastAsia="Times New Roman" w:cs="Calibri"/>
          <w:b/>
          <w:lang w:eastAsia="pl-PL"/>
        </w:rPr>
        <w:t>PFU</w:t>
      </w:r>
      <w:r w:rsidRPr="00955648">
        <w:rPr>
          <w:rFonts w:eastAsia="Times New Roman" w:cs="Calibri"/>
          <w:lang w:eastAsia="pl-PL"/>
        </w:rPr>
        <w:t>) – nal</w:t>
      </w:r>
      <w:r w:rsidR="00D01258" w:rsidRPr="00955648">
        <w:rPr>
          <w:rFonts w:eastAsia="Times New Roman" w:cs="Calibri"/>
          <w:lang w:eastAsia="pl-PL"/>
        </w:rPr>
        <w:t xml:space="preserve">eży przez to rozumieć dokument </w:t>
      </w:r>
      <w:r w:rsidRPr="00955648">
        <w:rPr>
          <w:rFonts w:eastAsia="Times New Roman" w:cs="Calibri"/>
          <w:lang w:eastAsia="pl-PL"/>
        </w:rPr>
        <w:t xml:space="preserve">pn. </w:t>
      </w:r>
      <w:r w:rsidR="006A73A8" w:rsidRPr="00955648">
        <w:rPr>
          <w:rFonts w:eastAsia="Times New Roman" w:cs="Calibri"/>
          <w:lang w:eastAsia="pl-PL"/>
        </w:rPr>
        <w:t>„</w:t>
      </w:r>
      <w:r w:rsidR="00181064" w:rsidRPr="00955648">
        <w:rPr>
          <w:rFonts w:eastAsia="Times New Roman" w:cs="Calibri"/>
          <w:lang w:eastAsia="pl-PL"/>
        </w:rPr>
        <w:t>Zaprojektowanie i b</w:t>
      </w:r>
      <w:r w:rsidR="006A73A8" w:rsidRPr="00955648">
        <w:rPr>
          <w:rFonts w:eastAsia="Times New Roman" w:cs="Calibri"/>
          <w:lang w:eastAsia="pl-PL"/>
        </w:rPr>
        <w:t xml:space="preserve">udowa energooszczędnego oświetlenie drogowe typu LED w pasch dróg gminnych dla wybranych </w:t>
      </w:r>
      <w:r w:rsidR="00736B5D" w:rsidRPr="00955648">
        <w:rPr>
          <w:rFonts w:eastAsia="Times New Roman" w:cs="Calibri"/>
          <w:lang w:eastAsia="pl-PL"/>
        </w:rPr>
        <w:t>miejscowości na</w:t>
      </w:r>
      <w:r w:rsidR="006A73A8" w:rsidRPr="00955648">
        <w:rPr>
          <w:rFonts w:eastAsia="Times New Roman" w:cs="Calibri"/>
          <w:lang w:eastAsia="pl-PL"/>
        </w:rPr>
        <w:t xml:space="preserve"> terenie Gminy Kobylnica w formule partnerstwa publiczno-prywatnego</w:t>
      </w:r>
      <w:r w:rsidR="00181064" w:rsidRPr="00955648">
        <w:rPr>
          <w:rFonts w:eastAsia="Times New Roman" w:cs="Calibri"/>
          <w:lang w:eastAsia="pl-PL"/>
        </w:rPr>
        <w:t xml:space="preserve"> wraz z jego utrzymaniem</w:t>
      </w:r>
      <w:r w:rsidR="006A73A8" w:rsidRPr="00955648">
        <w:rPr>
          <w:rFonts w:eastAsia="Times New Roman" w:cs="Calibri"/>
          <w:lang w:eastAsia="pl-PL"/>
        </w:rPr>
        <w:t xml:space="preserve">”, opracowany zgodnie z art. 31 ustawy z dnia 29 stycznia 2004 r. Prawo zamówień publicznych i </w:t>
      </w:r>
      <w:r w:rsidR="00736B5D" w:rsidRPr="00955648">
        <w:rPr>
          <w:rFonts w:eastAsia="Times New Roman" w:cs="Calibri"/>
          <w:lang w:eastAsia="pl-PL"/>
        </w:rPr>
        <w:t xml:space="preserve">zgodnie z Rozporządzeniem Ministra Infrastruktury z dnia 2 września 2004 </w:t>
      </w:r>
      <w:proofErr w:type="gramStart"/>
      <w:r w:rsidR="00736B5D" w:rsidRPr="00955648">
        <w:rPr>
          <w:rFonts w:eastAsia="Times New Roman" w:cs="Calibri"/>
          <w:lang w:eastAsia="pl-PL"/>
        </w:rPr>
        <w:t>r.</w:t>
      </w:r>
      <w:r w:rsidR="006A73A8" w:rsidRPr="00955648">
        <w:rPr>
          <w:rFonts w:eastAsia="Times New Roman" w:cs="Calibri"/>
          <w:lang w:eastAsia="pl-PL"/>
        </w:rPr>
        <w:t xml:space="preserve">  </w:t>
      </w:r>
      <w:r w:rsidR="00736B5D" w:rsidRPr="00955648">
        <w:rPr>
          <w:rFonts w:eastAsia="Times New Roman" w:cs="Calibri"/>
          <w:lang w:eastAsia="pl-PL"/>
        </w:rPr>
        <w:t>w</w:t>
      </w:r>
      <w:proofErr w:type="gramEnd"/>
      <w:r w:rsidR="00736B5D" w:rsidRPr="00955648">
        <w:rPr>
          <w:rFonts w:eastAsia="Times New Roman" w:cs="Calibri"/>
          <w:lang w:eastAsia="pl-PL"/>
        </w:rPr>
        <w:t xml:space="preserve"> sprawie</w:t>
      </w:r>
      <w:r w:rsidR="006A73A8" w:rsidRPr="00955648">
        <w:rPr>
          <w:rFonts w:eastAsia="Times New Roman" w:cs="Calibri"/>
          <w:lang w:eastAsia="pl-PL"/>
        </w:rPr>
        <w:t xml:space="preserve"> szczegółowego zakresu i formy </w:t>
      </w:r>
      <w:r w:rsidR="006A73A8" w:rsidRPr="00955648">
        <w:rPr>
          <w:rFonts w:eastAsia="Times New Roman" w:cs="Calibri"/>
          <w:lang w:eastAsia="pl-PL"/>
        </w:rPr>
        <w:lastRenderedPageBreak/>
        <w:t xml:space="preserve">dokumentacji projektowej, specyfikacji technicznych wykonania i odbioru robót budowlanych oraz programu funkcjonalno-użytkowego, </w:t>
      </w:r>
      <w:r w:rsidRPr="00955648">
        <w:rPr>
          <w:rFonts w:eastAsia="Times New Roman" w:cs="Calibri"/>
          <w:lang w:eastAsia="pl-PL"/>
        </w:rPr>
        <w:t xml:space="preserve">służący do ustalenia planowanych kosztów prac projektowych i robót budowlanych, przygotowania oferty, szczególnie w zakresie obliczenia ceny oferty oraz wykonania prac projektowych, </w:t>
      </w:r>
      <w:proofErr w:type="gramStart"/>
      <w:r w:rsidRPr="00955648">
        <w:rPr>
          <w:rFonts w:eastAsia="Times New Roman" w:cs="Calibri"/>
          <w:lang w:eastAsia="pl-PL"/>
        </w:rPr>
        <w:t>sta</w:t>
      </w:r>
      <w:r w:rsidR="00D01258" w:rsidRPr="00955648">
        <w:rPr>
          <w:rFonts w:eastAsia="Times New Roman" w:cs="Calibri"/>
          <w:lang w:eastAsia="pl-PL"/>
        </w:rPr>
        <w:t>nowiący</w:t>
      </w:r>
      <w:proofErr w:type="gramEnd"/>
      <w:r w:rsidR="00D01258" w:rsidRPr="00955648">
        <w:rPr>
          <w:rFonts w:eastAsia="Times New Roman" w:cs="Calibri"/>
          <w:lang w:eastAsia="pl-PL"/>
        </w:rPr>
        <w:t xml:space="preserve"> Załącznik Nr </w:t>
      </w:r>
      <w:r w:rsidR="007B4621" w:rsidRPr="00955648">
        <w:rPr>
          <w:rFonts w:eastAsia="Times New Roman" w:cs="Calibri"/>
          <w:lang w:eastAsia="pl-PL"/>
        </w:rPr>
        <w:t>5</w:t>
      </w:r>
      <w:r w:rsidR="00D01258" w:rsidRPr="00955648">
        <w:rPr>
          <w:rFonts w:eastAsia="Times New Roman" w:cs="Calibri"/>
          <w:lang w:eastAsia="pl-PL"/>
        </w:rPr>
        <w:t xml:space="preserve"> do </w:t>
      </w:r>
      <w:r w:rsidR="007B4621" w:rsidRPr="00955648">
        <w:rPr>
          <w:rFonts w:eastAsia="Times New Roman" w:cs="Calibri"/>
          <w:lang w:eastAsia="pl-PL"/>
        </w:rPr>
        <w:t>U</w:t>
      </w:r>
      <w:r w:rsidR="00D01258" w:rsidRPr="00955648">
        <w:rPr>
          <w:rFonts w:eastAsia="Times New Roman" w:cs="Calibri"/>
          <w:lang w:eastAsia="pl-PL"/>
        </w:rPr>
        <w:t>mowy;</w:t>
      </w:r>
    </w:p>
    <w:p w14:paraId="6146B1A8" w14:textId="38BC4B35" w:rsidR="008E722B" w:rsidRPr="00955648" w:rsidRDefault="008E722B" w:rsidP="00B968EC">
      <w:pPr>
        <w:numPr>
          <w:ilvl w:val="0"/>
          <w:numId w:val="4"/>
        </w:numPr>
        <w:spacing w:before="120" w:after="0"/>
        <w:jc w:val="both"/>
        <w:rPr>
          <w:rFonts w:eastAsia="Times New Roman" w:cs="Calibri"/>
          <w:lang w:eastAsia="pl-PL"/>
        </w:rPr>
      </w:pPr>
      <w:r w:rsidRPr="00955648">
        <w:rPr>
          <w:rFonts w:eastAsia="Times New Roman" w:cs="Calibri"/>
          <w:b/>
          <w:bCs/>
          <w:lang w:eastAsia="pl-PL"/>
        </w:rPr>
        <w:t>Projekt Budowlan</w:t>
      </w:r>
      <w:r w:rsidR="00D5035E" w:rsidRPr="00955648">
        <w:rPr>
          <w:rFonts w:eastAsia="Times New Roman" w:cs="Calibri"/>
          <w:b/>
          <w:lang w:eastAsia="pl-PL"/>
        </w:rPr>
        <w:t>o - Wykonawczy</w:t>
      </w:r>
      <w:r w:rsidRPr="00955648">
        <w:rPr>
          <w:rFonts w:eastAsia="Times New Roman" w:cs="Calibri"/>
          <w:lang w:eastAsia="pl-PL"/>
        </w:rPr>
        <w:t xml:space="preserve">– oznacza pełno branżowy dokument, w zakresie zgodnym z wymaganiami Prawa – w tym w szczególności zgodnie z obowiązującym w Polsce Prawem Budowlanym i inne opracowania oraz wszelkie niezbędne dokumenty i uzgodnienia wymagane dla uzyskania Pozwolenia na Budowę lub </w:t>
      </w:r>
      <w:r w:rsidRPr="00955648">
        <w:rPr>
          <w:rFonts w:eastAsia="Times New Roman" w:cs="Calibri"/>
          <w:spacing w:val="4"/>
        </w:rPr>
        <w:t>zgłoszenia zamiaru wszczęcia Robót Budowlanych do właściwego organu</w:t>
      </w:r>
      <w:r w:rsidRPr="00955648">
        <w:rPr>
          <w:rFonts w:eastAsia="Times New Roman" w:cs="Calibri"/>
          <w:lang w:eastAsia="pl-PL"/>
        </w:rPr>
        <w:t xml:space="preserve"> opracowany na zlecenie Podmiotu Publicznego w ramach Przedsięwzięcia</w:t>
      </w:r>
      <w:r w:rsidR="00D5035E" w:rsidRPr="00955648">
        <w:rPr>
          <w:rFonts w:eastAsia="Times New Roman" w:cs="Calibri"/>
          <w:lang w:eastAsia="pl-PL"/>
        </w:rPr>
        <w:t xml:space="preserve"> oraz na </w:t>
      </w:r>
      <w:proofErr w:type="gramStart"/>
      <w:r w:rsidR="00D5035E" w:rsidRPr="00955648">
        <w:rPr>
          <w:rFonts w:eastAsia="Times New Roman" w:cs="Calibri"/>
          <w:lang w:eastAsia="pl-PL"/>
        </w:rPr>
        <w:t>podstawie którego</w:t>
      </w:r>
      <w:proofErr w:type="gramEnd"/>
      <w:r w:rsidR="00D5035E" w:rsidRPr="00955648">
        <w:rPr>
          <w:rFonts w:eastAsia="Times New Roman" w:cs="Calibri"/>
          <w:lang w:eastAsia="pl-PL"/>
        </w:rPr>
        <w:t xml:space="preserve"> możliwe będzie sporządzenie </w:t>
      </w:r>
      <w:r w:rsidRPr="00955648">
        <w:rPr>
          <w:rFonts w:eastAsia="Times New Roman" w:cs="Calibri"/>
          <w:lang w:eastAsia="pl-PL"/>
        </w:rPr>
        <w:t>przedmiaru robót, kosztorysu inwestorskiego i realizacj</w:t>
      </w:r>
      <w:r w:rsidR="00D5035E" w:rsidRPr="00955648">
        <w:rPr>
          <w:rFonts w:eastAsia="Times New Roman" w:cs="Calibri"/>
          <w:lang w:eastAsia="pl-PL"/>
        </w:rPr>
        <w:t>a</w:t>
      </w:r>
      <w:r w:rsidRPr="00955648">
        <w:rPr>
          <w:rFonts w:eastAsia="Times New Roman" w:cs="Calibri"/>
          <w:lang w:eastAsia="pl-PL"/>
        </w:rPr>
        <w:t xml:space="preserve"> Robót Budowlanych, opracowany na zlecenie Podmiotu Publicznego w ramach Przedsięwzięcia;</w:t>
      </w:r>
    </w:p>
    <w:p w14:paraId="701A5FA2" w14:textId="77777777" w:rsidR="00AF3E77" w:rsidRPr="00955648" w:rsidRDefault="00AF3E77" w:rsidP="00874B40">
      <w:pPr>
        <w:numPr>
          <w:ilvl w:val="0"/>
          <w:numId w:val="4"/>
        </w:numPr>
        <w:spacing w:before="120" w:after="0"/>
        <w:jc w:val="both"/>
        <w:rPr>
          <w:rFonts w:eastAsia="Times New Roman" w:cs="Calibri"/>
          <w:lang w:eastAsia="pl-PL"/>
        </w:rPr>
      </w:pPr>
      <w:r w:rsidRPr="00955648">
        <w:rPr>
          <w:rFonts w:eastAsia="Times New Roman" w:cs="Calibri"/>
          <w:b/>
          <w:bCs/>
          <w:lang w:eastAsia="pl-PL"/>
        </w:rPr>
        <w:t>Projektant</w:t>
      </w:r>
      <w:r w:rsidRPr="00955648">
        <w:rPr>
          <w:rFonts w:eastAsia="Times New Roman" w:cs="Calibri"/>
          <w:lang w:eastAsia="pl-PL"/>
        </w:rPr>
        <w:t xml:space="preserve"> </w:t>
      </w:r>
      <w:r w:rsidR="00874B40" w:rsidRPr="00955648">
        <w:rPr>
          <w:rFonts w:eastAsia="Times New Roman" w:cs="Calibri"/>
          <w:lang w:eastAsia="pl-PL"/>
        </w:rPr>
        <w:t>–</w:t>
      </w:r>
      <w:r w:rsidRPr="00955648">
        <w:rPr>
          <w:rFonts w:eastAsia="Times New Roman" w:cs="Calibri"/>
          <w:lang w:eastAsia="pl-PL"/>
        </w:rPr>
        <w:t xml:space="preserve"> </w:t>
      </w:r>
      <w:r w:rsidR="00874B40" w:rsidRPr="00955648">
        <w:rPr>
          <w:rFonts w:eastAsia="Times New Roman" w:cs="Calibri"/>
          <w:lang w:eastAsia="pl-PL"/>
        </w:rPr>
        <w:t>oznacza osobę fizyczną, należącą do kadry Partnera Prywatnego, posiadającą kwalifikacje wymagane w Rozdziale 3 Prawa Budowlanego i pełniącą funkcje przypisane przez art. 20 (obowiązki) oraz art. 21 (prawa) Prawa Budowlanego lub osobę prawną będącą wykonawcą Dokumentacji Projektowej Partnera Prywatnego.</w:t>
      </w:r>
    </w:p>
    <w:p w14:paraId="3ED3AF61" w14:textId="2A9DF1BE" w:rsidR="006E2367" w:rsidRPr="00955648" w:rsidRDefault="006E2367" w:rsidP="007B4621">
      <w:pPr>
        <w:numPr>
          <w:ilvl w:val="0"/>
          <w:numId w:val="4"/>
        </w:numPr>
        <w:spacing w:before="120" w:after="0"/>
        <w:jc w:val="both"/>
        <w:rPr>
          <w:rFonts w:eastAsia="Times New Roman" w:cs="Calibri"/>
          <w:lang w:eastAsia="pl-PL"/>
        </w:rPr>
      </w:pPr>
      <w:r w:rsidRPr="00955648">
        <w:rPr>
          <w:rFonts w:eastAsia="Times New Roman" w:cs="Calibri"/>
          <w:b/>
        </w:rPr>
        <w:t xml:space="preserve">Przedsięwzięcie </w:t>
      </w:r>
      <w:r w:rsidR="00D5035E" w:rsidRPr="00955648">
        <w:rPr>
          <w:rFonts w:eastAsia="Times New Roman" w:cs="Calibri"/>
          <w:b/>
        </w:rPr>
        <w:t>–</w:t>
      </w:r>
      <w:r w:rsidRPr="00955648">
        <w:rPr>
          <w:rFonts w:eastAsia="Times New Roman" w:cs="Calibri"/>
          <w:b/>
        </w:rPr>
        <w:t xml:space="preserve"> </w:t>
      </w:r>
      <w:r w:rsidR="00D5035E" w:rsidRPr="00955648">
        <w:rPr>
          <w:rFonts w:eastAsia="Times New Roman" w:cs="Calibri"/>
        </w:rPr>
        <w:t>zaprojektowanie i</w:t>
      </w:r>
      <w:r w:rsidR="00D5035E" w:rsidRPr="00955648">
        <w:rPr>
          <w:rFonts w:eastAsia="Times New Roman" w:cs="Calibri"/>
          <w:b/>
        </w:rPr>
        <w:t xml:space="preserve"> </w:t>
      </w:r>
      <w:r w:rsidRPr="00955648">
        <w:rPr>
          <w:rFonts w:eastAsia="Times New Roman" w:cs="Calibri"/>
        </w:rPr>
        <w:t>budowa energooszczędnego oświetlenia drogowego typu LED w pasach drogowych dróg gminnych dla wybranych miejscowości na terenie Gminy Kobylnica w formule partnerstwa publiczno-prywatnego, które obejmuje: - zaprojektowanie, wybudowanie, sfinansowan</w:t>
      </w:r>
      <w:r w:rsidR="00D01258" w:rsidRPr="00955648">
        <w:rPr>
          <w:rFonts w:eastAsia="Times New Roman" w:cs="Calibri"/>
        </w:rPr>
        <w:t>ie</w:t>
      </w:r>
      <w:r w:rsidR="007B4621" w:rsidRPr="00955648">
        <w:rPr>
          <w:rFonts w:eastAsia="Times New Roman" w:cs="Calibri"/>
        </w:rPr>
        <w:t xml:space="preserve"> oraz </w:t>
      </w:r>
      <w:r w:rsidR="00D01258" w:rsidRPr="00955648">
        <w:rPr>
          <w:rFonts w:eastAsia="Times New Roman" w:cs="Calibri"/>
        </w:rPr>
        <w:t xml:space="preserve">utrzymanie </w:t>
      </w:r>
    </w:p>
    <w:p w14:paraId="59FBFADF" w14:textId="77777777" w:rsidR="001158DF" w:rsidRPr="00955648" w:rsidRDefault="001158DF" w:rsidP="000F3F8D">
      <w:pPr>
        <w:numPr>
          <w:ilvl w:val="0"/>
          <w:numId w:val="4"/>
        </w:numPr>
        <w:spacing w:before="120" w:after="0"/>
        <w:jc w:val="both"/>
        <w:rPr>
          <w:rFonts w:eastAsia="Times New Roman" w:cs="Calibri"/>
          <w:lang w:eastAsia="pl-PL"/>
        </w:rPr>
      </w:pPr>
      <w:r w:rsidRPr="00955648">
        <w:rPr>
          <w:rFonts w:eastAsia="Times New Roman" w:cs="Calibri"/>
          <w:b/>
          <w:bCs/>
          <w:lang w:eastAsia="pl-PL"/>
        </w:rPr>
        <w:t>Przepisy Prawa</w:t>
      </w:r>
      <w:r w:rsidRPr="00955648">
        <w:rPr>
          <w:rFonts w:eastAsia="Times New Roman" w:cs="Calibri"/>
          <w:lang w:eastAsia="pl-PL"/>
        </w:rPr>
        <w:t xml:space="preserve"> – wszelkie przepisy prawa powszechnie obowiązującego na terenie Rzeczypospolitej Polskiej</w:t>
      </w:r>
    </w:p>
    <w:p w14:paraId="32D426A9" w14:textId="77777777" w:rsidR="00CB2778" w:rsidRPr="00955648" w:rsidRDefault="00CB2778" w:rsidP="00CB2778">
      <w:pPr>
        <w:numPr>
          <w:ilvl w:val="0"/>
          <w:numId w:val="4"/>
        </w:numPr>
        <w:spacing w:before="120" w:after="0"/>
        <w:jc w:val="both"/>
        <w:rPr>
          <w:rFonts w:eastAsia="Times New Roman" w:cs="Calibri"/>
          <w:lang w:eastAsia="pl-PL"/>
        </w:rPr>
      </w:pPr>
      <w:r w:rsidRPr="00955648">
        <w:rPr>
          <w:rFonts w:eastAsia="Times New Roman" w:cs="Calibri"/>
          <w:b/>
          <w:bCs/>
          <w:lang w:eastAsia="pl-PL"/>
        </w:rPr>
        <w:t>Raport pokontrolny</w:t>
      </w:r>
      <w:r w:rsidRPr="00955648">
        <w:rPr>
          <w:rFonts w:eastAsia="Times New Roman" w:cs="Calibri"/>
          <w:lang w:eastAsia="pl-PL"/>
        </w:rPr>
        <w:t xml:space="preserve"> – raport sporządzany przez Przewodniczącego Komitetu Zarządzającego w terminie 7 dni od dnia przeprowadzenia kontroli prawidłowości realizacji Umowy, zawierający informacje wymienione w pkt 26.13. Umowy;</w:t>
      </w:r>
    </w:p>
    <w:p w14:paraId="0FDBFF95" w14:textId="084FD66D" w:rsidR="000F3F8D" w:rsidRPr="00955648" w:rsidRDefault="000F3F8D" w:rsidP="000F3F8D">
      <w:pPr>
        <w:numPr>
          <w:ilvl w:val="0"/>
          <w:numId w:val="4"/>
        </w:numPr>
        <w:spacing w:before="120" w:after="0"/>
        <w:jc w:val="both"/>
        <w:rPr>
          <w:rFonts w:eastAsia="Times New Roman" w:cs="Calibri"/>
          <w:lang w:eastAsia="pl-PL"/>
        </w:rPr>
      </w:pPr>
      <w:r w:rsidRPr="00955648">
        <w:rPr>
          <w:rFonts w:eastAsia="Times New Roman" w:cs="Calibri"/>
          <w:b/>
          <w:bCs/>
          <w:lang w:eastAsia="pl-PL"/>
        </w:rPr>
        <w:t>Raport Roczny</w:t>
      </w:r>
      <w:r w:rsidRPr="00955648">
        <w:rPr>
          <w:rFonts w:eastAsia="Times New Roman" w:cs="Calibri"/>
          <w:lang w:eastAsia="pl-PL"/>
        </w:rPr>
        <w:t xml:space="preserve"> – dokument sporządzany przez Partnera Prywatnego,</w:t>
      </w:r>
      <w:r w:rsidR="00A26336" w:rsidRPr="00955648">
        <w:rPr>
          <w:rFonts w:eastAsia="Times New Roman" w:cs="Calibri"/>
          <w:lang w:eastAsia="pl-PL"/>
        </w:rPr>
        <w:t xml:space="preserve"> określony w</w:t>
      </w:r>
      <w:r w:rsidR="00B968EC" w:rsidRPr="00955648">
        <w:rPr>
          <w:rFonts w:eastAsia="Times New Roman" w:cs="Calibri"/>
          <w:lang w:eastAsia="pl-PL"/>
        </w:rPr>
        <w:t xml:space="preserve"> pkt 1.4.3.</w:t>
      </w:r>
      <w:r w:rsidR="00A26336" w:rsidRPr="00955648">
        <w:rPr>
          <w:rFonts w:eastAsia="Times New Roman" w:cs="Calibri"/>
          <w:lang w:eastAsia="pl-PL"/>
        </w:rPr>
        <w:t xml:space="preserve"> Załącznik</w:t>
      </w:r>
      <w:r w:rsidR="00B968EC" w:rsidRPr="00955648">
        <w:rPr>
          <w:rFonts w:eastAsia="Times New Roman" w:cs="Calibri"/>
          <w:lang w:eastAsia="pl-PL"/>
        </w:rPr>
        <w:t>a</w:t>
      </w:r>
      <w:r w:rsidR="00A26336" w:rsidRPr="00955648">
        <w:rPr>
          <w:rFonts w:eastAsia="Times New Roman" w:cs="Calibri"/>
          <w:lang w:eastAsia="pl-PL"/>
        </w:rPr>
        <w:t xml:space="preserve"> nr 7 do Umowy,</w:t>
      </w:r>
      <w:r w:rsidRPr="00955648">
        <w:rPr>
          <w:rFonts w:eastAsia="Times New Roman" w:cs="Calibri"/>
          <w:lang w:eastAsia="pl-PL"/>
        </w:rPr>
        <w:t xml:space="preserve"> przekazywany Podmiotowi Publicznemu do dnia 31 stycznia każdego roku Etapu Utrzymania zawierający: zestawienie Obiektów wraz z oceną stanu technicznego obejmującą m.in. ocenę skorodowania słupów oświetleniowych, ich brak odchyleń od pionu, uszkodzenia mechaniczne (w tym stabilność elementów – oprawy, wysięgnika), pomiar natężenia oświetlenia dla poszczególnych Obiektów </w:t>
      </w:r>
      <w:proofErr w:type="gramStart"/>
      <w:r w:rsidRPr="00955648">
        <w:rPr>
          <w:rFonts w:eastAsia="Times New Roman" w:cs="Calibri"/>
          <w:lang w:eastAsia="pl-PL"/>
        </w:rPr>
        <w:t>oraz  informacje</w:t>
      </w:r>
      <w:proofErr w:type="gramEnd"/>
      <w:r w:rsidRPr="00955648">
        <w:rPr>
          <w:rFonts w:eastAsia="Times New Roman" w:cs="Calibri"/>
          <w:lang w:eastAsia="pl-PL"/>
        </w:rPr>
        <w:t xml:space="preserve"> dotyczące wykonanych działań i czynności, w tym również podsumowanie Raportów z przeglądów serwisowych z poprzedniego roku kalendarzowego</w:t>
      </w:r>
    </w:p>
    <w:p w14:paraId="05E8B6F9" w14:textId="79E1C340" w:rsidR="00E06BCD" w:rsidRPr="00955648" w:rsidRDefault="007B4621" w:rsidP="00E06BCD">
      <w:pPr>
        <w:numPr>
          <w:ilvl w:val="0"/>
          <w:numId w:val="4"/>
        </w:numPr>
        <w:spacing w:before="120" w:after="0"/>
        <w:jc w:val="both"/>
        <w:rPr>
          <w:rFonts w:eastAsia="Times New Roman" w:cs="Calibri"/>
          <w:lang w:eastAsia="pl-PL"/>
        </w:rPr>
      </w:pPr>
      <w:r w:rsidRPr="00955648">
        <w:rPr>
          <w:rFonts w:eastAsia="Times New Roman" w:cs="Calibri"/>
          <w:b/>
          <w:bCs/>
          <w:lang w:eastAsia="pl-PL"/>
        </w:rPr>
        <w:t>Raport z przeglądów serwisowych</w:t>
      </w:r>
      <w:r w:rsidRPr="00955648">
        <w:rPr>
          <w:rFonts w:eastAsia="Times New Roman" w:cs="Calibri"/>
          <w:lang w:eastAsia="pl-PL"/>
        </w:rPr>
        <w:t xml:space="preserve"> – </w:t>
      </w:r>
      <w:r w:rsidR="00E06BCD" w:rsidRPr="00955648">
        <w:rPr>
          <w:rFonts w:eastAsia="Times New Roman" w:cs="Calibri"/>
          <w:lang w:eastAsia="pl-PL"/>
        </w:rPr>
        <w:t>dokument sporządzany przez Partnera Prywatnego i przekazywany Podmiotowi Publicznemu w terminie 7 dni od daty usunięcia Awarii lub Wady, zawierający datę zgłoszenia Awarii lub Wady, określenie rodzaju, zdefiniowanie uszkodzonych elementów, wykonane czynności, oraz datę usunięcia Awarii lub Wady</w:t>
      </w:r>
      <w:r w:rsidR="00B968EC" w:rsidRPr="00955648">
        <w:rPr>
          <w:rFonts w:eastAsia="Times New Roman" w:cs="Calibri"/>
          <w:lang w:eastAsia="pl-PL"/>
        </w:rPr>
        <w:t>, określony w pkt 1.3.5. Załącznika nr 7 do Umowy.</w:t>
      </w:r>
      <w:r w:rsidR="00E06BCD" w:rsidRPr="00955648">
        <w:rPr>
          <w:rFonts w:eastAsia="Times New Roman" w:cs="Calibri"/>
          <w:lang w:eastAsia="pl-PL"/>
        </w:rPr>
        <w:t xml:space="preserve"> </w:t>
      </w:r>
    </w:p>
    <w:p w14:paraId="4BC018A4" w14:textId="650C5C2B" w:rsidR="000C50E1" w:rsidRPr="00955648" w:rsidRDefault="000C50E1" w:rsidP="007B4621">
      <w:pPr>
        <w:numPr>
          <w:ilvl w:val="0"/>
          <w:numId w:val="4"/>
        </w:numPr>
        <w:spacing w:before="120" w:after="0"/>
        <w:jc w:val="both"/>
        <w:rPr>
          <w:rFonts w:eastAsia="Times New Roman" w:cs="Calibri"/>
          <w:lang w:eastAsia="pl-PL"/>
        </w:rPr>
      </w:pPr>
      <w:r w:rsidRPr="00955648">
        <w:rPr>
          <w:rFonts w:eastAsia="Times New Roman" w:cs="Calibri"/>
          <w:b/>
          <w:lang w:eastAsia="pl-PL"/>
        </w:rPr>
        <w:t>Remonty i Naprawy</w:t>
      </w:r>
      <w:r w:rsidRPr="00955648">
        <w:rPr>
          <w:rFonts w:eastAsia="Times New Roman" w:cs="Calibri"/>
          <w:lang w:eastAsia="pl-PL"/>
        </w:rPr>
        <w:t xml:space="preserve"> - wszelkie roboty i czynności wykonywane przez Partnera Prywatnego, lub na jego zlecenie, mające na celu odtworzenie stanu pierwotnego Obiektu (z wyłączeniem działań mających na celu usuwanie skutków użytkowania Obiektu i/lub jego wyposażenia niezgodnie z instrukcjami użytkowania), a niestanowiące jednocześnie Konserwacji;</w:t>
      </w:r>
    </w:p>
    <w:p w14:paraId="237E2F89" w14:textId="77777777" w:rsidR="006E2367" w:rsidRPr="00955648" w:rsidRDefault="00D01258" w:rsidP="007B4621">
      <w:pPr>
        <w:numPr>
          <w:ilvl w:val="0"/>
          <w:numId w:val="4"/>
        </w:numPr>
        <w:spacing w:before="120" w:after="0"/>
        <w:jc w:val="both"/>
        <w:rPr>
          <w:rFonts w:eastAsia="Times New Roman" w:cs="Calibri"/>
          <w:lang w:eastAsia="pl-PL"/>
        </w:rPr>
      </w:pPr>
      <w:r w:rsidRPr="00955648">
        <w:rPr>
          <w:rFonts w:eastAsia="Times New Roman" w:cs="Calibri"/>
          <w:b/>
        </w:rPr>
        <w:lastRenderedPageBreak/>
        <w:t xml:space="preserve">Roboty Budowlane – </w:t>
      </w:r>
      <w:r w:rsidRPr="00955648">
        <w:rPr>
          <w:rFonts w:eastAsia="Times New Roman" w:cs="Calibri"/>
        </w:rPr>
        <w:t>wszelkie czynności faktyczne i prawne mające na celu budowę Obiekt</w:t>
      </w:r>
      <w:r w:rsidR="007B4621" w:rsidRPr="00955648">
        <w:rPr>
          <w:rFonts w:eastAsia="Times New Roman" w:cs="Calibri"/>
        </w:rPr>
        <w:t>ów</w:t>
      </w:r>
      <w:r w:rsidRPr="00955648">
        <w:rPr>
          <w:rFonts w:eastAsia="Times New Roman" w:cs="Calibri"/>
        </w:rPr>
        <w:t xml:space="preserve"> </w:t>
      </w:r>
      <w:r w:rsidR="007B4621" w:rsidRPr="00955648">
        <w:rPr>
          <w:rFonts w:eastAsia="Times New Roman" w:cs="Calibri"/>
        </w:rPr>
        <w:t xml:space="preserve">objętych </w:t>
      </w:r>
      <w:r w:rsidR="005A2D1B" w:rsidRPr="00955648">
        <w:rPr>
          <w:rFonts w:eastAsia="Times New Roman" w:cs="Calibri"/>
        </w:rPr>
        <w:t>zakresem P</w:t>
      </w:r>
      <w:r w:rsidRPr="00955648">
        <w:rPr>
          <w:rFonts w:eastAsia="Times New Roman" w:cs="Calibri"/>
        </w:rPr>
        <w:t>rzedsięwzięcia</w:t>
      </w:r>
      <w:r w:rsidR="00EE6240" w:rsidRPr="00955648">
        <w:rPr>
          <w:rFonts w:eastAsia="Times New Roman" w:cs="Calibri"/>
        </w:rPr>
        <w:t>, w tym prace projektowe</w:t>
      </w:r>
      <w:r w:rsidRPr="00955648">
        <w:rPr>
          <w:rFonts w:eastAsia="Times New Roman" w:cs="Calibri"/>
        </w:rPr>
        <w:t>;</w:t>
      </w:r>
    </w:p>
    <w:p w14:paraId="3AF25A16" w14:textId="77777777" w:rsidR="00A0729C" w:rsidRPr="00955648" w:rsidRDefault="00A0729C" w:rsidP="00997194">
      <w:pPr>
        <w:numPr>
          <w:ilvl w:val="0"/>
          <w:numId w:val="4"/>
        </w:numPr>
        <w:spacing w:before="120" w:after="0"/>
        <w:jc w:val="both"/>
        <w:rPr>
          <w:rFonts w:eastAsia="Times New Roman" w:cs="Calibri"/>
          <w:lang w:eastAsia="pl-PL"/>
        </w:rPr>
      </w:pPr>
      <w:r w:rsidRPr="00955648">
        <w:rPr>
          <w:rFonts w:eastAsia="Times New Roman" w:cs="Calibri"/>
          <w:b/>
          <w:bCs/>
          <w:lang w:eastAsia="pl-PL"/>
        </w:rPr>
        <w:t>Roboty Dodatkowe</w:t>
      </w:r>
      <w:r w:rsidRPr="00955648">
        <w:rPr>
          <w:rFonts w:eastAsia="Times New Roman" w:cs="Calibri"/>
          <w:lang w:eastAsia="pl-PL"/>
        </w:rPr>
        <w:t xml:space="preserve"> – roboty objęte przedmiotem Umowy, ale nie przewidziane w Dokumentacji Projektowej, wykonywane na podstawie protokołu konieczności potwierdzonego </w:t>
      </w:r>
      <w:r w:rsidR="00997194" w:rsidRPr="00955648">
        <w:rPr>
          <w:rFonts w:eastAsia="Times New Roman" w:cs="Calibri"/>
          <w:lang w:eastAsia="pl-PL"/>
        </w:rPr>
        <w:t>zgodnie z zasadami określonymi w Umowie</w:t>
      </w:r>
      <w:r w:rsidRPr="00955648">
        <w:rPr>
          <w:rFonts w:eastAsia="Times New Roman" w:cs="Calibri"/>
          <w:lang w:eastAsia="pl-PL"/>
        </w:rPr>
        <w:t xml:space="preserve">, </w:t>
      </w:r>
      <w:proofErr w:type="gramStart"/>
      <w:r w:rsidRPr="00955648">
        <w:rPr>
          <w:rFonts w:eastAsia="Times New Roman" w:cs="Calibri"/>
          <w:lang w:eastAsia="pl-PL"/>
        </w:rPr>
        <w:t>chyba że</w:t>
      </w:r>
      <w:proofErr w:type="gramEnd"/>
      <w:r w:rsidRPr="00955648">
        <w:rPr>
          <w:rFonts w:eastAsia="Times New Roman" w:cs="Calibri"/>
          <w:lang w:eastAsia="pl-PL"/>
        </w:rPr>
        <w:t xml:space="preserve"> Strony postanowią inaczej. Stawki przyjęte na potrzeby wykonania protokołu konieczności, nie mogą być wyższe niż stawki przyjęte do skalkulowania ceny Oferty.</w:t>
      </w:r>
    </w:p>
    <w:p w14:paraId="7E76C41F" w14:textId="77777777" w:rsidR="00A0729C" w:rsidRPr="00955648" w:rsidRDefault="00A0729C" w:rsidP="00997194">
      <w:pPr>
        <w:numPr>
          <w:ilvl w:val="0"/>
          <w:numId w:val="4"/>
        </w:numPr>
        <w:spacing w:before="120" w:after="0"/>
        <w:jc w:val="both"/>
        <w:rPr>
          <w:rFonts w:eastAsia="Times New Roman" w:cs="Calibri"/>
          <w:lang w:eastAsia="pl-PL"/>
        </w:rPr>
      </w:pPr>
      <w:r w:rsidRPr="00955648">
        <w:rPr>
          <w:rFonts w:eastAsia="Times New Roman" w:cs="Calibri"/>
          <w:b/>
          <w:bCs/>
          <w:lang w:eastAsia="pl-PL"/>
        </w:rPr>
        <w:t>Roboty Zamienne</w:t>
      </w:r>
      <w:r w:rsidRPr="00955648">
        <w:rPr>
          <w:rFonts w:eastAsia="Times New Roman" w:cs="Calibri"/>
          <w:lang w:eastAsia="pl-PL"/>
        </w:rPr>
        <w:t xml:space="preserve"> – roboty polegające na wykonaniu zaprojektowanego elementu w Dokumentacji Projektowej, ale w sposób odmienny, niż to opisano w Dokumentacji Projektowej, na podstawie rozwiązania zamiennego, wykonywane na podstawie protokołu konieczności potwierdzonego </w:t>
      </w:r>
      <w:r w:rsidR="00997194" w:rsidRPr="00955648">
        <w:rPr>
          <w:rFonts w:eastAsia="Times New Roman" w:cs="Calibri"/>
          <w:lang w:eastAsia="pl-PL"/>
        </w:rPr>
        <w:t>zgodnie z zasadami określonymi w Umowie,</w:t>
      </w:r>
      <w:r w:rsidRPr="00955648">
        <w:rPr>
          <w:rFonts w:eastAsia="Times New Roman" w:cs="Calibri"/>
          <w:lang w:eastAsia="pl-PL"/>
        </w:rPr>
        <w:t xml:space="preserve"> chyba, że Strony postanowią inaczej. Stawki przyjęte na potrzeby wykonania protokołu konieczności, nie mogą być wyższe niż stawki przyjęte do skalkulowania ceny Oferty.</w:t>
      </w:r>
    </w:p>
    <w:p w14:paraId="2D4EDA11" w14:textId="77777777" w:rsidR="00A40420" w:rsidRPr="00955648" w:rsidRDefault="00A40420" w:rsidP="006E2367">
      <w:pPr>
        <w:numPr>
          <w:ilvl w:val="0"/>
          <w:numId w:val="4"/>
        </w:numPr>
        <w:spacing w:before="120" w:after="0"/>
        <w:jc w:val="both"/>
        <w:rPr>
          <w:rFonts w:eastAsia="Times New Roman" w:cs="Calibri"/>
          <w:lang w:eastAsia="pl-PL"/>
        </w:rPr>
      </w:pPr>
      <w:r w:rsidRPr="00955648">
        <w:rPr>
          <w:rFonts w:eastAsia="Times New Roman" w:cs="Calibri"/>
          <w:b/>
        </w:rPr>
        <w:t xml:space="preserve">Sfinansowanie Umowy </w:t>
      </w:r>
      <w:r w:rsidR="00A14C95" w:rsidRPr="00955648">
        <w:rPr>
          <w:rFonts w:eastAsia="Times New Roman" w:cs="Calibri"/>
          <w:b/>
        </w:rPr>
        <w:t>–</w:t>
      </w:r>
      <w:r w:rsidRPr="00955648">
        <w:rPr>
          <w:rFonts w:eastAsia="Times New Roman" w:cs="Calibri"/>
          <w:lang w:eastAsia="pl-PL"/>
        </w:rPr>
        <w:t xml:space="preserve"> </w:t>
      </w:r>
      <w:r w:rsidR="00A14C95" w:rsidRPr="00955648">
        <w:rPr>
          <w:rFonts w:eastAsia="Times New Roman" w:cs="Calibri"/>
          <w:lang w:eastAsia="pl-PL"/>
        </w:rPr>
        <w:t>oznacza sfinansowanie Przedsięwzięcia poprzez zadłużenie i/</w:t>
      </w:r>
      <w:r w:rsidR="002B6CD8" w:rsidRPr="00955648">
        <w:rPr>
          <w:rFonts w:eastAsia="Times New Roman" w:cs="Calibri"/>
          <w:lang w:eastAsia="pl-PL"/>
        </w:rPr>
        <w:t>lub kapitałem własnym Partnera P</w:t>
      </w:r>
      <w:r w:rsidR="00A14C95" w:rsidRPr="00955648">
        <w:rPr>
          <w:rFonts w:eastAsia="Times New Roman" w:cs="Calibri"/>
          <w:lang w:eastAsia="pl-PL"/>
        </w:rPr>
        <w:t>rywatnego, przy uwzględnieniu Wynagr</w:t>
      </w:r>
      <w:r w:rsidR="00CB7416" w:rsidRPr="00955648">
        <w:rPr>
          <w:rFonts w:eastAsia="Times New Roman" w:cs="Calibri"/>
          <w:lang w:eastAsia="pl-PL"/>
        </w:rPr>
        <w:t>o</w:t>
      </w:r>
      <w:r w:rsidR="00A14C95" w:rsidRPr="00955648">
        <w:rPr>
          <w:rFonts w:eastAsia="Times New Roman" w:cs="Calibri"/>
          <w:lang w:eastAsia="pl-PL"/>
        </w:rPr>
        <w:t>dz</w:t>
      </w:r>
      <w:r w:rsidR="00CB7416" w:rsidRPr="00955648">
        <w:rPr>
          <w:rFonts w:eastAsia="Times New Roman" w:cs="Calibri"/>
          <w:lang w:eastAsia="pl-PL"/>
        </w:rPr>
        <w:t>e</w:t>
      </w:r>
      <w:r w:rsidR="00A14C95" w:rsidRPr="00955648">
        <w:rPr>
          <w:rFonts w:eastAsia="Times New Roman" w:cs="Calibri"/>
          <w:lang w:eastAsia="pl-PL"/>
        </w:rPr>
        <w:t xml:space="preserve">nia oraz Wkładu Własnego Podmiotu Publicznego; </w:t>
      </w:r>
    </w:p>
    <w:p w14:paraId="45107AF1" w14:textId="77777777" w:rsidR="00DD5B7E" w:rsidRPr="00955648" w:rsidRDefault="00DD5B7E" w:rsidP="00E325A0">
      <w:pPr>
        <w:numPr>
          <w:ilvl w:val="0"/>
          <w:numId w:val="4"/>
        </w:numPr>
        <w:spacing w:before="120" w:after="0"/>
        <w:jc w:val="both"/>
        <w:rPr>
          <w:rFonts w:eastAsia="Times New Roman" w:cs="Calibri"/>
          <w:lang w:eastAsia="pl-PL"/>
        </w:rPr>
      </w:pPr>
      <w:r w:rsidRPr="00955648">
        <w:rPr>
          <w:rFonts w:eastAsia="Times New Roman" w:cs="Calibri"/>
          <w:b/>
          <w:bCs/>
          <w:lang w:eastAsia="pl-PL"/>
        </w:rPr>
        <w:t>Siła Wyższa</w:t>
      </w:r>
      <w:r w:rsidRPr="00955648">
        <w:rPr>
          <w:rFonts w:eastAsia="Times New Roman" w:cs="Calibri"/>
          <w:lang w:eastAsia="pl-PL"/>
        </w:rPr>
        <w:t xml:space="preserve"> - </w:t>
      </w:r>
      <w:r w:rsidR="00E325A0" w:rsidRPr="00955648">
        <w:rPr>
          <w:rFonts w:eastAsia="Times New Roman" w:cs="Calibri"/>
          <w:lang w:eastAsia="pl-PL"/>
        </w:rPr>
        <w:t xml:space="preserve">rozumiana </w:t>
      </w:r>
      <w:proofErr w:type="gramStart"/>
      <w:r w:rsidR="00E325A0" w:rsidRPr="00955648">
        <w:rPr>
          <w:rFonts w:eastAsia="Times New Roman" w:cs="Calibri"/>
          <w:lang w:eastAsia="pl-PL"/>
        </w:rPr>
        <w:t>jest jako</w:t>
      </w:r>
      <w:proofErr w:type="gramEnd"/>
      <w:r w:rsidR="00E325A0" w:rsidRPr="00955648">
        <w:rPr>
          <w:rFonts w:eastAsia="Times New Roman" w:cs="Calibri"/>
          <w:lang w:eastAsia="pl-PL"/>
        </w:rPr>
        <w:t xml:space="preserve"> zdarzenie nagłe i nieprzewidywalne, którego skutkom Partner Prywatny nie mógł się przeciwstawić bądź którego skutkom przeciwstawienie się przez Partnera Prywatnego wiązałoby się z poniesieniem kosztów niewspółmiernych do kosztów ponoszonych w normalnym toku realizacji Przedsięwzięcia;</w:t>
      </w:r>
    </w:p>
    <w:p w14:paraId="2449554E" w14:textId="77777777" w:rsidR="00DE47FE" w:rsidRPr="00955648" w:rsidRDefault="00DE47FE" w:rsidP="006E2367">
      <w:pPr>
        <w:numPr>
          <w:ilvl w:val="0"/>
          <w:numId w:val="4"/>
        </w:numPr>
        <w:spacing w:before="120" w:after="0"/>
        <w:jc w:val="both"/>
        <w:rPr>
          <w:rFonts w:eastAsia="Times New Roman" w:cs="Calibri"/>
          <w:lang w:eastAsia="pl-PL"/>
        </w:rPr>
      </w:pPr>
      <w:r w:rsidRPr="00955648">
        <w:rPr>
          <w:rFonts w:eastAsia="Times New Roman" w:cs="Calibri"/>
          <w:b/>
        </w:rPr>
        <w:t>Strony –</w:t>
      </w:r>
      <w:r w:rsidRPr="00955648">
        <w:rPr>
          <w:rFonts w:eastAsia="Times New Roman" w:cs="Calibri"/>
          <w:lang w:eastAsia="pl-PL"/>
        </w:rPr>
        <w:t xml:space="preserve"> strony </w:t>
      </w:r>
      <w:r w:rsidR="00E743DC" w:rsidRPr="00955648">
        <w:rPr>
          <w:rFonts w:eastAsia="Times New Roman" w:cs="Calibri"/>
          <w:lang w:eastAsia="pl-PL"/>
        </w:rPr>
        <w:t>przedmiotowej Umowy;</w:t>
      </w:r>
    </w:p>
    <w:p w14:paraId="2C5A5E70" w14:textId="77777777" w:rsidR="00E743DC" w:rsidRPr="00955648" w:rsidRDefault="00E743DC" w:rsidP="006E2367">
      <w:pPr>
        <w:numPr>
          <w:ilvl w:val="0"/>
          <w:numId w:val="4"/>
        </w:numPr>
        <w:spacing w:before="120" w:after="0"/>
        <w:jc w:val="both"/>
        <w:rPr>
          <w:rFonts w:eastAsia="Times New Roman" w:cs="Calibri"/>
          <w:lang w:eastAsia="pl-PL"/>
        </w:rPr>
      </w:pPr>
      <w:r w:rsidRPr="00955648">
        <w:rPr>
          <w:rFonts w:eastAsia="Times New Roman" w:cs="Calibri"/>
          <w:b/>
        </w:rPr>
        <w:t>Teren Budowy –</w:t>
      </w:r>
      <w:r w:rsidRPr="00955648">
        <w:rPr>
          <w:rFonts w:eastAsia="Times New Roman" w:cs="Calibri"/>
          <w:lang w:eastAsia="pl-PL"/>
        </w:rPr>
        <w:t xml:space="preserve"> oznacza teren budowy na Nieruchomości;</w:t>
      </w:r>
    </w:p>
    <w:p w14:paraId="21E5C502" w14:textId="77777777" w:rsidR="00A3770A" w:rsidRPr="00955648" w:rsidRDefault="00A3770A" w:rsidP="00A3770A">
      <w:pPr>
        <w:numPr>
          <w:ilvl w:val="0"/>
          <w:numId w:val="4"/>
        </w:numPr>
        <w:spacing w:before="120" w:after="0"/>
        <w:jc w:val="both"/>
        <w:rPr>
          <w:rFonts w:eastAsia="Times New Roman" w:cs="Calibri"/>
          <w:lang w:eastAsia="pl-PL"/>
        </w:rPr>
      </w:pPr>
      <w:r w:rsidRPr="00955648">
        <w:rPr>
          <w:rFonts w:eastAsia="Times New Roman" w:cs="Calibri"/>
          <w:b/>
          <w:lang w:eastAsia="pl-PL"/>
        </w:rPr>
        <w:t>Urządzenia oświetleniowe</w:t>
      </w:r>
      <w:r w:rsidRPr="00955648">
        <w:rPr>
          <w:rFonts w:eastAsia="Times New Roman" w:cs="Calibri"/>
          <w:lang w:eastAsia="pl-PL"/>
        </w:rPr>
        <w:t xml:space="preserve"> – oprawy z układem elektronicznym, słupy, wysięgniki, fundamenty, szafki sterujące oświetleniem wraz z wyposażeniem, kable elektryczne, mufy kablowe</w:t>
      </w:r>
    </w:p>
    <w:p w14:paraId="06C39ACC" w14:textId="77777777" w:rsidR="00E643B6" w:rsidRPr="00955648" w:rsidRDefault="00E643B6" w:rsidP="00DF6888">
      <w:pPr>
        <w:numPr>
          <w:ilvl w:val="0"/>
          <w:numId w:val="4"/>
        </w:numPr>
        <w:spacing w:before="120" w:after="0"/>
        <w:jc w:val="both"/>
        <w:rPr>
          <w:rFonts w:eastAsia="Times New Roman" w:cs="Calibri"/>
          <w:lang w:eastAsia="pl-PL"/>
        </w:rPr>
      </w:pPr>
      <w:r w:rsidRPr="00955648">
        <w:rPr>
          <w:rFonts w:eastAsia="Times New Roman" w:cs="Calibri"/>
          <w:b/>
          <w:lang w:eastAsia="pl-PL"/>
        </w:rPr>
        <w:t>Ustawa o VAT</w:t>
      </w:r>
      <w:r w:rsidRPr="00955648">
        <w:rPr>
          <w:rFonts w:eastAsia="Times New Roman" w:cs="Calibri"/>
          <w:lang w:eastAsia="pl-PL"/>
        </w:rPr>
        <w:t xml:space="preserve"> - </w:t>
      </w:r>
      <w:r w:rsidRPr="00955648">
        <w:rPr>
          <w:rFonts w:cs="Calibri"/>
          <w:spacing w:val="4"/>
        </w:rPr>
        <w:t xml:space="preserve">ustawa z dnia 11 marca 2004 r. o podatku od towarów i usług ( t. j. Dz. U. </w:t>
      </w:r>
      <w:proofErr w:type="gramStart"/>
      <w:r w:rsidRPr="00955648">
        <w:rPr>
          <w:rFonts w:cs="Calibri"/>
          <w:spacing w:val="4"/>
        </w:rPr>
        <w:t>z</w:t>
      </w:r>
      <w:proofErr w:type="gramEnd"/>
      <w:r w:rsidRPr="00955648">
        <w:rPr>
          <w:rFonts w:cs="Calibri"/>
          <w:spacing w:val="4"/>
        </w:rPr>
        <w:t xml:space="preserve"> 2020 r. poz. 106)</w:t>
      </w:r>
    </w:p>
    <w:p w14:paraId="19163903" w14:textId="77777777" w:rsidR="006E2367" w:rsidRPr="00955648" w:rsidRDefault="006E2367" w:rsidP="00DF6888">
      <w:pPr>
        <w:numPr>
          <w:ilvl w:val="0"/>
          <w:numId w:val="4"/>
        </w:numPr>
        <w:spacing w:before="120" w:after="0"/>
        <w:jc w:val="both"/>
        <w:rPr>
          <w:rFonts w:eastAsia="Times New Roman" w:cs="Calibri"/>
          <w:lang w:eastAsia="pl-PL"/>
        </w:rPr>
      </w:pPr>
      <w:r w:rsidRPr="00955648">
        <w:rPr>
          <w:rFonts w:eastAsia="Times New Roman" w:cs="Calibri"/>
          <w:b/>
        </w:rPr>
        <w:t xml:space="preserve">Ustawa </w:t>
      </w:r>
      <w:proofErr w:type="spellStart"/>
      <w:r w:rsidRPr="00955648">
        <w:rPr>
          <w:rFonts w:eastAsia="Times New Roman" w:cs="Calibri"/>
          <w:b/>
        </w:rPr>
        <w:t>ppp</w:t>
      </w:r>
      <w:proofErr w:type="spellEnd"/>
      <w:r w:rsidRPr="00955648">
        <w:rPr>
          <w:rFonts w:eastAsia="Times New Roman" w:cs="Calibri"/>
          <w:b/>
        </w:rPr>
        <w:t xml:space="preserve"> –</w:t>
      </w:r>
      <w:r w:rsidRPr="00955648">
        <w:rPr>
          <w:rFonts w:eastAsia="Times New Roman" w:cs="Calibri"/>
        </w:rPr>
        <w:t xml:space="preserve"> ustawa z dnia 19 grudnia 2008 r. o partnerstwie publiczno-prywatnym (</w:t>
      </w:r>
      <w:proofErr w:type="spellStart"/>
      <w:r w:rsidR="00DF6888" w:rsidRPr="00955648">
        <w:rPr>
          <w:rFonts w:eastAsia="Times New Roman" w:cs="Calibri"/>
        </w:rPr>
        <w:t>t.j</w:t>
      </w:r>
      <w:proofErr w:type="spellEnd"/>
      <w:r w:rsidR="00DF6888" w:rsidRPr="00955648">
        <w:rPr>
          <w:rFonts w:eastAsia="Times New Roman" w:cs="Calibri"/>
        </w:rPr>
        <w:t xml:space="preserve">. Dz. U. </w:t>
      </w:r>
      <w:proofErr w:type="gramStart"/>
      <w:r w:rsidR="00DF6888" w:rsidRPr="00955648">
        <w:rPr>
          <w:rFonts w:eastAsia="Times New Roman" w:cs="Calibri"/>
        </w:rPr>
        <w:t>z</w:t>
      </w:r>
      <w:proofErr w:type="gramEnd"/>
      <w:r w:rsidR="00DF6888" w:rsidRPr="00955648">
        <w:rPr>
          <w:rFonts w:eastAsia="Times New Roman" w:cs="Calibri"/>
        </w:rPr>
        <w:t xml:space="preserve"> 2019 r. poz. 1445 ze zm.</w:t>
      </w:r>
      <w:r w:rsidRPr="00955648">
        <w:rPr>
          <w:rFonts w:eastAsia="Times New Roman" w:cs="Calibri"/>
        </w:rPr>
        <w:t>)</w:t>
      </w:r>
    </w:p>
    <w:p w14:paraId="0495E4B6" w14:textId="77777777" w:rsidR="006E2367" w:rsidRPr="00955648" w:rsidRDefault="006E2367" w:rsidP="003271E1">
      <w:pPr>
        <w:numPr>
          <w:ilvl w:val="0"/>
          <w:numId w:val="4"/>
        </w:numPr>
        <w:spacing w:before="120" w:after="0"/>
        <w:jc w:val="both"/>
        <w:rPr>
          <w:rFonts w:eastAsia="Times New Roman" w:cs="Calibri"/>
          <w:lang w:eastAsia="pl-PL"/>
        </w:rPr>
      </w:pPr>
      <w:r w:rsidRPr="00955648">
        <w:rPr>
          <w:rFonts w:eastAsia="Times New Roman" w:cs="Calibri"/>
          <w:b/>
        </w:rPr>
        <w:t xml:space="preserve">Ustawa </w:t>
      </w:r>
      <w:proofErr w:type="spellStart"/>
      <w:r w:rsidRPr="00955648">
        <w:rPr>
          <w:rFonts w:eastAsia="Times New Roman" w:cs="Calibri"/>
          <w:b/>
        </w:rPr>
        <w:t>pzp</w:t>
      </w:r>
      <w:proofErr w:type="spellEnd"/>
      <w:r w:rsidRPr="00955648">
        <w:rPr>
          <w:rFonts w:eastAsia="Times New Roman" w:cs="Calibri"/>
          <w:b/>
        </w:rPr>
        <w:t xml:space="preserve"> –</w:t>
      </w:r>
      <w:r w:rsidRPr="00955648">
        <w:rPr>
          <w:rFonts w:eastAsia="Times New Roman" w:cs="Calibri"/>
        </w:rPr>
        <w:t xml:space="preserve"> ustawa z dnia 29 stycznia 204 r. prawo zamówień publicznych (</w:t>
      </w:r>
      <w:proofErr w:type="spellStart"/>
      <w:r w:rsidR="00DF6888" w:rsidRPr="00955648">
        <w:rPr>
          <w:rFonts w:eastAsia="Times New Roman" w:cs="Calibri"/>
        </w:rPr>
        <w:t>t.j</w:t>
      </w:r>
      <w:proofErr w:type="spellEnd"/>
      <w:r w:rsidR="00DF6888" w:rsidRPr="00955648">
        <w:rPr>
          <w:rFonts w:eastAsia="Times New Roman" w:cs="Calibri"/>
        </w:rPr>
        <w:t xml:space="preserve">. </w:t>
      </w:r>
      <w:r w:rsidR="003271E1" w:rsidRPr="00955648">
        <w:rPr>
          <w:rFonts w:eastAsia="Times New Roman" w:cs="Calibri"/>
        </w:rPr>
        <w:t xml:space="preserve">Dz. U. </w:t>
      </w:r>
      <w:proofErr w:type="gramStart"/>
      <w:r w:rsidR="003271E1" w:rsidRPr="00955648">
        <w:rPr>
          <w:rFonts w:eastAsia="Times New Roman" w:cs="Calibri"/>
        </w:rPr>
        <w:t>z</w:t>
      </w:r>
      <w:proofErr w:type="gramEnd"/>
      <w:r w:rsidR="003271E1" w:rsidRPr="00955648">
        <w:rPr>
          <w:rFonts w:eastAsia="Times New Roman" w:cs="Calibri"/>
        </w:rPr>
        <w:t xml:space="preserve"> 2019</w:t>
      </w:r>
      <w:r w:rsidR="00EB4F8C" w:rsidRPr="00955648">
        <w:rPr>
          <w:rFonts w:eastAsia="Times New Roman" w:cs="Calibri"/>
        </w:rPr>
        <w:t xml:space="preserve"> r., poz. </w:t>
      </w:r>
      <w:r w:rsidR="003271E1" w:rsidRPr="00955648">
        <w:rPr>
          <w:rFonts w:eastAsia="Times New Roman" w:cs="Calibri"/>
        </w:rPr>
        <w:t>1843</w:t>
      </w:r>
      <w:r w:rsidR="00EB4F8C" w:rsidRPr="00955648">
        <w:rPr>
          <w:rFonts w:eastAsia="Times New Roman" w:cs="Calibri"/>
        </w:rPr>
        <w:t>)</w:t>
      </w:r>
    </w:p>
    <w:p w14:paraId="0573CB93" w14:textId="77777777" w:rsidR="00B75F5C" w:rsidRPr="00955648" w:rsidRDefault="00B75F5C" w:rsidP="0000504F">
      <w:pPr>
        <w:numPr>
          <w:ilvl w:val="0"/>
          <w:numId w:val="4"/>
        </w:numPr>
        <w:spacing w:before="120" w:after="0"/>
        <w:jc w:val="both"/>
        <w:rPr>
          <w:rFonts w:eastAsia="Times New Roman" w:cs="Calibri"/>
          <w:lang w:eastAsia="pl-PL"/>
        </w:rPr>
      </w:pPr>
      <w:r w:rsidRPr="00955648">
        <w:rPr>
          <w:rFonts w:eastAsia="Times New Roman" w:cs="Calibri"/>
          <w:b/>
        </w:rPr>
        <w:t xml:space="preserve">Utrzymanie </w:t>
      </w:r>
      <w:r w:rsidR="007B4621" w:rsidRPr="00955648">
        <w:rPr>
          <w:rFonts w:eastAsia="Times New Roman" w:cs="Calibri"/>
          <w:b/>
        </w:rPr>
        <w:t xml:space="preserve">– </w:t>
      </w:r>
      <w:r w:rsidRPr="00955648">
        <w:rPr>
          <w:rFonts w:eastAsia="Times New Roman" w:cs="Calibri"/>
          <w:lang w:eastAsia="pl-PL"/>
        </w:rPr>
        <w:t>wszelkie czynności faktyczne i prawne, podejmowane przez Partnera Prywatnego, związane z utrzymaniem technicznym Obiektu w zakresie określonym Umową, z uwzględnieniem normalnego zużycia, obejmujące Konserwację, Naprawy i Remont</w:t>
      </w:r>
      <w:r w:rsidR="00CB7416" w:rsidRPr="00955648">
        <w:rPr>
          <w:rFonts w:eastAsia="Times New Roman" w:cs="Calibri"/>
          <w:lang w:eastAsia="pl-PL"/>
        </w:rPr>
        <w:t>y</w:t>
      </w:r>
      <w:r w:rsidRPr="00955648">
        <w:rPr>
          <w:rFonts w:eastAsia="Times New Roman" w:cs="Calibri"/>
          <w:lang w:eastAsia="pl-PL"/>
        </w:rPr>
        <w:t xml:space="preserve"> oraz gwarantujące zachowanie Obiektu w stanie niepogorszonym i umożliwiające korzystanie z niego zgodnie z jego przeznaczeniem;</w:t>
      </w:r>
    </w:p>
    <w:p w14:paraId="46557562" w14:textId="77777777" w:rsidR="006E2367" w:rsidRPr="00955648" w:rsidRDefault="006E2367" w:rsidP="006E2367">
      <w:pPr>
        <w:numPr>
          <w:ilvl w:val="0"/>
          <w:numId w:val="4"/>
        </w:numPr>
        <w:spacing w:before="120" w:after="0"/>
        <w:jc w:val="both"/>
        <w:rPr>
          <w:rFonts w:eastAsia="Times New Roman" w:cs="Calibri"/>
          <w:lang w:eastAsia="pl-PL"/>
        </w:rPr>
      </w:pPr>
      <w:r w:rsidRPr="00955648">
        <w:rPr>
          <w:rFonts w:eastAsia="Times New Roman" w:cs="Calibri"/>
          <w:b/>
        </w:rPr>
        <w:t>Umowa –</w:t>
      </w:r>
      <w:r w:rsidRPr="00955648">
        <w:rPr>
          <w:rFonts w:eastAsia="Times New Roman" w:cs="Calibri"/>
        </w:rPr>
        <w:t xml:space="preserve"> umowa o partnerstwie publiczno-prywatnym </w:t>
      </w:r>
      <w:r w:rsidR="00CB7416" w:rsidRPr="00955648">
        <w:rPr>
          <w:rFonts w:eastAsia="Times New Roman" w:cs="Calibri"/>
        </w:rPr>
        <w:t xml:space="preserve">w rozumieniu art. 7 Ustawy ppp, </w:t>
      </w:r>
      <w:r w:rsidRPr="00955648">
        <w:rPr>
          <w:rFonts w:eastAsia="Times New Roman" w:cs="Calibri"/>
        </w:rPr>
        <w:t>zawarta pomiędzy Podmiotem Publicznym a Partnerem Prywatnym</w:t>
      </w:r>
      <w:r w:rsidR="00663E2F" w:rsidRPr="00955648">
        <w:rPr>
          <w:rFonts w:eastAsia="Times New Roman" w:cs="Calibri"/>
        </w:rPr>
        <w:t>;</w:t>
      </w:r>
    </w:p>
    <w:p w14:paraId="5785062B" w14:textId="77777777" w:rsidR="00526DE4" w:rsidRPr="00955648" w:rsidRDefault="00526DE4" w:rsidP="006E2367">
      <w:pPr>
        <w:numPr>
          <w:ilvl w:val="0"/>
          <w:numId w:val="4"/>
        </w:numPr>
        <w:spacing w:before="120" w:after="0"/>
        <w:jc w:val="both"/>
        <w:rPr>
          <w:rFonts w:eastAsia="Times New Roman" w:cs="Calibri"/>
          <w:lang w:eastAsia="pl-PL"/>
        </w:rPr>
      </w:pPr>
      <w:r w:rsidRPr="00955648">
        <w:rPr>
          <w:rFonts w:eastAsia="Times New Roman" w:cs="Calibri"/>
          <w:b/>
        </w:rPr>
        <w:t xml:space="preserve">Umowa Użyczenia </w:t>
      </w:r>
      <w:r w:rsidR="009C3049" w:rsidRPr="00955648">
        <w:rPr>
          <w:rFonts w:eastAsia="Times New Roman" w:cs="Calibri"/>
          <w:b/>
        </w:rPr>
        <w:t>–</w:t>
      </w:r>
      <w:r w:rsidRPr="00955648">
        <w:rPr>
          <w:rFonts w:eastAsia="Times New Roman" w:cs="Calibri"/>
          <w:lang w:eastAsia="pl-PL"/>
        </w:rPr>
        <w:t xml:space="preserve"> </w:t>
      </w:r>
      <w:r w:rsidR="00627984" w:rsidRPr="00955648">
        <w:rPr>
          <w:rFonts w:eastAsia="Times New Roman" w:cs="Calibri"/>
          <w:lang w:eastAsia="pl-PL"/>
        </w:rPr>
        <w:t xml:space="preserve">umowa zawarta </w:t>
      </w:r>
      <w:r w:rsidR="00CB7416" w:rsidRPr="00955648">
        <w:rPr>
          <w:rFonts w:eastAsia="Times New Roman" w:cs="Calibri"/>
          <w:lang w:eastAsia="pl-PL"/>
        </w:rPr>
        <w:t>po</w:t>
      </w:r>
      <w:r w:rsidR="00627984" w:rsidRPr="00955648">
        <w:rPr>
          <w:rFonts w:eastAsia="Times New Roman" w:cs="Calibri"/>
          <w:lang w:eastAsia="pl-PL"/>
        </w:rPr>
        <w:t xml:space="preserve">między Podmiotem Publicznym a Partnerem </w:t>
      </w:r>
      <w:r w:rsidR="00CB7416" w:rsidRPr="00955648">
        <w:rPr>
          <w:rFonts w:eastAsia="Times New Roman" w:cs="Calibri"/>
          <w:lang w:eastAsia="pl-PL"/>
        </w:rPr>
        <w:t>P</w:t>
      </w:r>
      <w:r w:rsidR="00627984" w:rsidRPr="00955648">
        <w:rPr>
          <w:rFonts w:eastAsia="Times New Roman" w:cs="Calibri"/>
          <w:lang w:eastAsia="pl-PL"/>
        </w:rPr>
        <w:t xml:space="preserve">rywatnym, której przedmiotem jest użyczenie Nieruchomości na czas trwania Umowy. </w:t>
      </w:r>
    </w:p>
    <w:p w14:paraId="254A8A19" w14:textId="77777777" w:rsidR="009C3049" w:rsidRPr="00955648" w:rsidRDefault="009C3049" w:rsidP="008F3EB6">
      <w:pPr>
        <w:numPr>
          <w:ilvl w:val="0"/>
          <w:numId w:val="4"/>
        </w:numPr>
        <w:spacing w:before="120" w:after="0"/>
        <w:jc w:val="both"/>
        <w:rPr>
          <w:rFonts w:eastAsia="Times New Roman" w:cs="Calibri"/>
          <w:lang w:eastAsia="pl-PL"/>
        </w:rPr>
      </w:pPr>
      <w:r w:rsidRPr="00955648">
        <w:rPr>
          <w:rFonts w:eastAsia="Times New Roman" w:cs="Calibri"/>
          <w:b/>
          <w:lang w:eastAsia="pl-PL"/>
        </w:rPr>
        <w:lastRenderedPageBreak/>
        <w:t>Umowy Finansow</w:t>
      </w:r>
      <w:r w:rsidR="00664428" w:rsidRPr="00955648">
        <w:rPr>
          <w:rFonts w:eastAsia="Times New Roman" w:cs="Calibri"/>
          <w:b/>
          <w:lang w:eastAsia="pl-PL"/>
        </w:rPr>
        <w:t>ania</w:t>
      </w:r>
      <w:r w:rsidRPr="00955648">
        <w:rPr>
          <w:rFonts w:eastAsia="Times New Roman" w:cs="Calibri"/>
          <w:lang w:eastAsia="pl-PL"/>
        </w:rPr>
        <w:t xml:space="preserve"> – oznaczają wszystkie lub dowolne wybrane umowy lub instrumenty prawne, które ma zawrzeć Partner Prywatny </w:t>
      </w:r>
      <w:r w:rsidR="00825721" w:rsidRPr="00955648">
        <w:rPr>
          <w:rFonts w:eastAsia="Times New Roman" w:cs="Calibri"/>
          <w:lang w:eastAsia="pl-PL"/>
        </w:rPr>
        <w:t xml:space="preserve">lub którakolwiek </w:t>
      </w:r>
      <w:r w:rsidR="00CB7416" w:rsidRPr="00955648">
        <w:rPr>
          <w:rFonts w:eastAsia="Times New Roman" w:cs="Calibri"/>
          <w:lang w:eastAsia="pl-PL"/>
        </w:rPr>
        <w:t>s</w:t>
      </w:r>
      <w:r w:rsidR="00825721" w:rsidRPr="00955648">
        <w:rPr>
          <w:rFonts w:eastAsia="Times New Roman" w:cs="Calibri"/>
          <w:lang w:eastAsia="pl-PL"/>
        </w:rPr>
        <w:t xml:space="preserve">trona Partnera </w:t>
      </w:r>
      <w:r w:rsidR="00CB7416" w:rsidRPr="00955648">
        <w:rPr>
          <w:rFonts w:eastAsia="Times New Roman" w:cs="Calibri"/>
          <w:lang w:eastAsia="pl-PL"/>
        </w:rPr>
        <w:t>P</w:t>
      </w:r>
      <w:r w:rsidR="00825721" w:rsidRPr="00955648">
        <w:rPr>
          <w:rFonts w:eastAsia="Times New Roman" w:cs="Calibri"/>
          <w:lang w:eastAsia="pl-PL"/>
        </w:rPr>
        <w:t>rywatnego w zakresie finansowania działań związanych z Przedsięwzięciem</w:t>
      </w:r>
      <w:r w:rsidR="00600ACD" w:rsidRPr="00955648">
        <w:rPr>
          <w:rFonts w:eastAsia="Times New Roman" w:cs="Calibri"/>
          <w:lang w:eastAsia="pl-PL"/>
        </w:rPr>
        <w:t>. Na potrzeby Umowy za Umowę Finansową uznaje się także</w:t>
      </w:r>
      <w:r w:rsidR="00FD2531" w:rsidRPr="00955648">
        <w:rPr>
          <w:rFonts w:eastAsia="Times New Roman" w:cs="Calibri"/>
          <w:lang w:eastAsia="pl-PL"/>
        </w:rPr>
        <w:t xml:space="preserve"> umowę kredytową w rozumieniu Ustawy Prawo bankowe</w:t>
      </w:r>
      <w:r w:rsidR="00825721" w:rsidRPr="00955648">
        <w:rPr>
          <w:rFonts w:eastAsia="Times New Roman" w:cs="Calibri"/>
          <w:lang w:eastAsia="pl-PL"/>
        </w:rPr>
        <w:t>;</w:t>
      </w:r>
    </w:p>
    <w:p w14:paraId="37A098D4" w14:textId="77777777" w:rsidR="00D33ADD" w:rsidRPr="00955648" w:rsidRDefault="00D33ADD" w:rsidP="006E2367">
      <w:pPr>
        <w:numPr>
          <w:ilvl w:val="0"/>
          <w:numId w:val="4"/>
        </w:numPr>
        <w:spacing w:before="120" w:after="0"/>
        <w:jc w:val="both"/>
        <w:rPr>
          <w:rFonts w:eastAsia="Times New Roman" w:cs="Calibri"/>
          <w:lang w:eastAsia="pl-PL"/>
        </w:rPr>
      </w:pPr>
      <w:r w:rsidRPr="00955648">
        <w:rPr>
          <w:rFonts w:eastAsia="Times New Roman" w:cs="Calibri"/>
          <w:b/>
          <w:lang w:eastAsia="pl-PL"/>
        </w:rPr>
        <w:t xml:space="preserve">Umowa Kredytowa </w:t>
      </w:r>
      <w:r w:rsidRPr="00955648">
        <w:rPr>
          <w:rFonts w:eastAsia="Times New Roman" w:cs="Calibri"/>
          <w:lang w:eastAsia="pl-PL"/>
        </w:rPr>
        <w:t xml:space="preserve">– umowa zawarta przez Partnera </w:t>
      </w:r>
      <w:r w:rsidR="00CB7416" w:rsidRPr="00955648">
        <w:rPr>
          <w:rFonts w:eastAsia="Times New Roman" w:cs="Calibri"/>
          <w:lang w:eastAsia="pl-PL"/>
        </w:rPr>
        <w:t>P</w:t>
      </w:r>
      <w:r w:rsidRPr="00955648">
        <w:rPr>
          <w:rFonts w:eastAsia="Times New Roman" w:cs="Calibri"/>
          <w:lang w:eastAsia="pl-PL"/>
        </w:rPr>
        <w:t>rywatnego z Instytucją Finansującą, dotycząca Finasowania Przedsięwzięcia;</w:t>
      </w:r>
    </w:p>
    <w:p w14:paraId="2713DC40" w14:textId="77777777" w:rsidR="00A13D25" w:rsidRPr="00955648" w:rsidRDefault="00A13D25" w:rsidP="00A13D25">
      <w:pPr>
        <w:numPr>
          <w:ilvl w:val="0"/>
          <w:numId w:val="4"/>
        </w:numPr>
        <w:spacing w:before="120" w:after="0"/>
        <w:jc w:val="both"/>
        <w:rPr>
          <w:rFonts w:eastAsia="Times New Roman" w:cs="Calibri"/>
          <w:lang w:eastAsia="pl-PL"/>
        </w:rPr>
      </w:pPr>
      <w:r w:rsidRPr="00955648">
        <w:rPr>
          <w:rFonts w:eastAsia="Times New Roman" w:cs="Calibri"/>
          <w:b/>
        </w:rPr>
        <w:t>Wkład Własny –</w:t>
      </w:r>
      <w:r w:rsidRPr="00955648">
        <w:rPr>
          <w:rFonts w:eastAsia="Times New Roman" w:cs="Calibri"/>
        </w:rPr>
        <w:t xml:space="preserve"> świadczenie Podmiotu Publicznego w rozumieniu art. 2 pkt 5 ustawy </w:t>
      </w:r>
      <w:proofErr w:type="spellStart"/>
      <w:r w:rsidRPr="00955648">
        <w:rPr>
          <w:rFonts w:eastAsia="Times New Roman" w:cs="Calibri"/>
        </w:rPr>
        <w:t>ppp</w:t>
      </w:r>
      <w:proofErr w:type="spellEnd"/>
      <w:r w:rsidRPr="00955648">
        <w:rPr>
          <w:rFonts w:eastAsia="Times New Roman" w:cs="Calibri"/>
        </w:rPr>
        <w:t xml:space="preserve"> </w:t>
      </w:r>
    </w:p>
    <w:p w14:paraId="3FF557EB" w14:textId="77777777" w:rsidR="00A13D25" w:rsidRPr="00955648" w:rsidRDefault="00A13D25" w:rsidP="00A13D25">
      <w:pPr>
        <w:numPr>
          <w:ilvl w:val="0"/>
          <w:numId w:val="4"/>
        </w:numPr>
        <w:spacing w:before="120" w:after="0"/>
        <w:jc w:val="both"/>
        <w:rPr>
          <w:rFonts w:eastAsia="Times New Roman" w:cs="Calibri"/>
          <w:lang w:eastAsia="pl-PL"/>
        </w:rPr>
      </w:pPr>
      <w:r w:rsidRPr="00955648">
        <w:rPr>
          <w:rFonts w:eastAsia="Times New Roman" w:cs="Calibri"/>
          <w:b/>
        </w:rPr>
        <w:t>Wynagrodzenie -</w:t>
      </w:r>
      <w:r w:rsidRPr="00955648">
        <w:rPr>
          <w:rFonts w:eastAsia="Times New Roman" w:cs="Calibri"/>
          <w:lang w:eastAsia="pl-PL"/>
        </w:rPr>
        <w:t xml:space="preserve"> ogół wydatków pieniężnych i innych świadczeń wypłacanych przez Podmiot Publiczny na rzecz Partnera Prywatnego z tytułu wykonywania Umowy;</w:t>
      </w:r>
    </w:p>
    <w:p w14:paraId="423AB5F3" w14:textId="77777777" w:rsidR="00FA0A14" w:rsidRPr="00955648" w:rsidRDefault="00663E2F" w:rsidP="00FA0A14">
      <w:pPr>
        <w:numPr>
          <w:ilvl w:val="0"/>
          <w:numId w:val="4"/>
        </w:numPr>
        <w:spacing w:before="120" w:after="0"/>
        <w:jc w:val="both"/>
        <w:rPr>
          <w:rFonts w:eastAsia="Times New Roman" w:cs="Calibri"/>
          <w:lang w:eastAsia="pl-PL"/>
        </w:rPr>
      </w:pPr>
      <w:r w:rsidRPr="00955648">
        <w:rPr>
          <w:rFonts w:eastAsia="Times New Roman" w:cs="Calibri"/>
          <w:b/>
        </w:rPr>
        <w:t>Zamknięcie Finansowania –</w:t>
      </w:r>
      <w:r w:rsidRPr="00955648">
        <w:rPr>
          <w:rFonts w:eastAsia="Times New Roman" w:cs="Calibri"/>
          <w:lang w:eastAsia="pl-PL"/>
        </w:rPr>
        <w:t xml:space="preserve"> przedstawienie przez Partnera Prywatnego Podmiotowi Publicznemu Umowy Kredytowej lub innych dokumentów wystawionych przez Instytucję </w:t>
      </w:r>
      <w:r w:rsidR="00CB7416" w:rsidRPr="00955648">
        <w:rPr>
          <w:rFonts w:eastAsia="Times New Roman" w:cs="Calibri"/>
          <w:lang w:eastAsia="pl-PL"/>
        </w:rPr>
        <w:t>F</w:t>
      </w:r>
      <w:r w:rsidRPr="00955648">
        <w:rPr>
          <w:rFonts w:eastAsia="Times New Roman" w:cs="Calibri"/>
          <w:lang w:eastAsia="pl-PL"/>
        </w:rPr>
        <w:t>inansującą, z których wynika, zobowiązanie Instytucji Finansującej do zapewnienia Finansowania</w:t>
      </w:r>
      <w:r w:rsidR="00E04363" w:rsidRPr="00955648">
        <w:rPr>
          <w:rFonts w:eastAsia="Times New Roman" w:cs="Calibri"/>
          <w:lang w:eastAsia="pl-PL"/>
        </w:rPr>
        <w:t xml:space="preserve"> lub dokumentu/dokumentów w formie pisemnej, z których w sposób jednoznaczny i bezwarunkowy wynika posiadanie przez Partnera Prywatnego środków pieniężnych na realizację przedmiotu Umowy</w:t>
      </w:r>
      <w:r w:rsidR="00FA0A14" w:rsidRPr="00955648">
        <w:rPr>
          <w:rFonts w:eastAsia="Times New Roman" w:cs="Calibri"/>
          <w:lang w:eastAsia="pl-PL"/>
        </w:rPr>
        <w:t>;</w:t>
      </w:r>
    </w:p>
    <w:p w14:paraId="6163147A" w14:textId="77777777" w:rsidR="00E325A0" w:rsidRPr="00955648" w:rsidRDefault="00E325A0" w:rsidP="00FA0A14">
      <w:pPr>
        <w:numPr>
          <w:ilvl w:val="0"/>
          <w:numId w:val="4"/>
        </w:numPr>
        <w:spacing w:before="120" w:after="0"/>
        <w:jc w:val="both"/>
        <w:rPr>
          <w:rFonts w:eastAsia="Times New Roman" w:cs="Calibri"/>
          <w:lang w:eastAsia="pl-PL"/>
        </w:rPr>
      </w:pPr>
      <w:r w:rsidRPr="00955648">
        <w:rPr>
          <w:rFonts w:eastAsia="Times New Roman" w:cs="Calibri"/>
          <w:b/>
          <w:bCs/>
          <w:lang w:eastAsia="pl-PL"/>
        </w:rPr>
        <w:t>Zdarzenie Nieprzewidywalne</w:t>
      </w:r>
      <w:r w:rsidRPr="00955648">
        <w:rPr>
          <w:rFonts w:eastAsia="Times New Roman" w:cs="Calibri"/>
          <w:lang w:eastAsia="pl-PL"/>
        </w:rPr>
        <w:t xml:space="preserve"> – okoliczności wymienione w pkt 29.1. Umowy, z których wystąpieniem wiąże się Prawo Żądania Zmiany przysługujące Partnerowi Prywatnemu na zasadach określonych w pkt 29.2. Umowy; </w:t>
      </w:r>
    </w:p>
    <w:p w14:paraId="3115670F" w14:textId="77777777" w:rsidR="00663E2F" w:rsidRPr="00955648" w:rsidRDefault="00FA0A14" w:rsidP="00FA0A14">
      <w:pPr>
        <w:numPr>
          <w:ilvl w:val="0"/>
          <w:numId w:val="4"/>
        </w:numPr>
        <w:spacing w:before="120" w:after="0"/>
        <w:jc w:val="both"/>
        <w:rPr>
          <w:rFonts w:eastAsia="Times New Roman" w:cs="Calibri"/>
          <w:lang w:eastAsia="pl-PL"/>
        </w:rPr>
      </w:pPr>
      <w:r w:rsidRPr="00955648">
        <w:rPr>
          <w:rFonts w:eastAsia="Times New Roman" w:cs="Calibri"/>
          <w:b/>
          <w:bCs/>
          <w:lang w:eastAsia="pl-PL"/>
        </w:rPr>
        <w:t>Zmiana Prawa</w:t>
      </w:r>
      <w:r w:rsidRPr="00955648">
        <w:rPr>
          <w:rFonts w:eastAsia="Times New Roman" w:cs="Calibri"/>
          <w:lang w:eastAsia="pl-PL"/>
        </w:rPr>
        <w:t xml:space="preserve"> – oznacza wejście w życie lub uchylenie Przepisów Prawa, zmianę interpretacji Przepisów Prawa, istotną zmianę orzecznictwa sądów lub organów administracji publicznej, które miało miejsce po dniu złożenia Oferty, pod warunkiem, że skutki wskazanych zdarzeń mają wpływ na realizację praw lub obowiązków wynikających z niniejszej Umowy.</w:t>
      </w:r>
    </w:p>
    <w:p w14:paraId="1D1F8304" w14:textId="77777777" w:rsidR="00663E2F" w:rsidRPr="00955648" w:rsidRDefault="00663E2F" w:rsidP="00663E2F">
      <w:pPr>
        <w:spacing w:before="120" w:after="0"/>
        <w:ind w:left="720"/>
        <w:jc w:val="both"/>
        <w:rPr>
          <w:rFonts w:eastAsia="Times New Roman" w:cs="Calibri"/>
          <w:lang w:eastAsia="pl-PL"/>
        </w:rPr>
      </w:pPr>
    </w:p>
    <w:p w14:paraId="5CF1FEC0" w14:textId="77777777" w:rsidR="00F96BCF" w:rsidRPr="00955648" w:rsidRDefault="00F96BCF" w:rsidP="00F96D73">
      <w:pPr>
        <w:pStyle w:val="Tekstpodstawowy21"/>
        <w:spacing w:line="360" w:lineRule="auto"/>
        <w:jc w:val="right"/>
        <w:rPr>
          <w:rFonts w:ascii="Calibri" w:hAnsi="Calibri" w:cs="Calibri"/>
          <w:b w:val="0"/>
        </w:rPr>
      </w:pPr>
    </w:p>
    <w:sectPr w:rsidR="00F96BCF" w:rsidRPr="00955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990"/>
        </w:tabs>
        <w:ind w:left="990" w:hanging="432"/>
      </w:pPr>
    </w:lvl>
    <w:lvl w:ilvl="1">
      <w:start w:val="1"/>
      <w:numFmt w:val="none"/>
      <w:lvlText w:val=""/>
      <w:lvlJc w:val="left"/>
      <w:pPr>
        <w:tabs>
          <w:tab w:val="num" w:pos="1134"/>
        </w:tabs>
        <w:ind w:left="1134" w:hanging="576"/>
      </w:pPr>
    </w:lvl>
    <w:lvl w:ilvl="2">
      <w:start w:val="1"/>
      <w:numFmt w:val="none"/>
      <w:pStyle w:val="Nagwek3"/>
      <w:lvlText w:val=""/>
      <w:lvlJc w:val="left"/>
      <w:pPr>
        <w:tabs>
          <w:tab w:val="num" w:pos="1278"/>
        </w:tabs>
        <w:ind w:left="1278" w:hanging="720"/>
      </w:pPr>
    </w:lvl>
    <w:lvl w:ilvl="3">
      <w:start w:val="1"/>
      <w:numFmt w:val="none"/>
      <w:lvlText w:val=""/>
      <w:lvlJc w:val="left"/>
      <w:pPr>
        <w:tabs>
          <w:tab w:val="num" w:pos="1422"/>
        </w:tabs>
        <w:ind w:left="1422" w:hanging="864"/>
      </w:pPr>
    </w:lvl>
    <w:lvl w:ilvl="4">
      <w:start w:val="1"/>
      <w:numFmt w:val="none"/>
      <w:lvlText w:val=""/>
      <w:lvlJc w:val="left"/>
      <w:pPr>
        <w:tabs>
          <w:tab w:val="num" w:pos="1566"/>
        </w:tabs>
        <w:ind w:left="1566" w:hanging="1008"/>
      </w:pPr>
    </w:lvl>
    <w:lvl w:ilvl="5">
      <w:start w:val="1"/>
      <w:numFmt w:val="none"/>
      <w:lvlText w:val=""/>
      <w:lvlJc w:val="left"/>
      <w:pPr>
        <w:tabs>
          <w:tab w:val="num" w:pos="1710"/>
        </w:tabs>
        <w:ind w:left="1710" w:hanging="1152"/>
      </w:pPr>
    </w:lvl>
    <w:lvl w:ilvl="6">
      <w:start w:val="1"/>
      <w:numFmt w:val="none"/>
      <w:lvlText w:val=""/>
      <w:lvlJc w:val="left"/>
      <w:pPr>
        <w:tabs>
          <w:tab w:val="num" w:pos="1854"/>
        </w:tabs>
        <w:ind w:left="1854" w:hanging="1296"/>
      </w:pPr>
    </w:lvl>
    <w:lvl w:ilvl="7">
      <w:start w:val="1"/>
      <w:numFmt w:val="none"/>
      <w:lvlText w:val=""/>
      <w:lvlJc w:val="left"/>
      <w:pPr>
        <w:tabs>
          <w:tab w:val="num" w:pos="1998"/>
        </w:tabs>
        <w:ind w:left="1998" w:hanging="1440"/>
      </w:pPr>
    </w:lvl>
    <w:lvl w:ilvl="8">
      <w:start w:val="1"/>
      <w:numFmt w:val="none"/>
      <w:lvlText w:val=""/>
      <w:lvlJc w:val="left"/>
      <w:pPr>
        <w:tabs>
          <w:tab w:val="num" w:pos="2142"/>
        </w:tabs>
        <w:ind w:left="2142" w:hanging="1584"/>
      </w:pPr>
    </w:lvl>
  </w:abstractNum>
  <w:abstractNum w:abstractNumId="1">
    <w:nsid w:val="152C7F7C"/>
    <w:multiLevelType w:val="hybridMultilevel"/>
    <w:tmpl w:val="F978F9CC"/>
    <w:lvl w:ilvl="0" w:tplc="0415000F">
      <w:start w:val="1"/>
      <w:numFmt w:val="decimal"/>
      <w:lvlText w:val="%1."/>
      <w:lvlJc w:val="left"/>
      <w:pPr>
        <w:tabs>
          <w:tab w:val="num" w:pos="1080"/>
        </w:tabs>
        <w:ind w:left="1080" w:hanging="360"/>
      </w:pPr>
      <w:rPr>
        <w:rFonts w:hint="default"/>
        <w:b w:val="0"/>
        <w:bCs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
    <w:nsid w:val="25252A93"/>
    <w:multiLevelType w:val="hybridMultilevel"/>
    <w:tmpl w:val="2954FB00"/>
    <w:lvl w:ilvl="0" w:tplc="7616AB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C2F442B"/>
    <w:multiLevelType w:val="hybridMultilevel"/>
    <w:tmpl w:val="0CAA375C"/>
    <w:lvl w:ilvl="0" w:tplc="2318D822">
      <w:start w:val="1"/>
      <w:numFmt w:val="decimal"/>
      <w:lvlText w:val="%1."/>
      <w:lvlJc w:val="left"/>
      <w:pPr>
        <w:tabs>
          <w:tab w:val="num" w:pos="-31680"/>
        </w:tabs>
        <w:ind w:left="720" w:hanging="363"/>
      </w:pPr>
      <w:rPr>
        <w:rFonts w:cs="Times New Roman" w:hint="default"/>
        <w:b/>
        <w:bCs/>
        <w:i w:val="0"/>
      </w:rPr>
    </w:lvl>
    <w:lvl w:ilvl="1" w:tplc="7E60B20C">
      <w:start w:val="1"/>
      <w:numFmt w:val="lowerLetter"/>
      <w:lvlText w:val="%2)"/>
      <w:lvlJc w:val="left"/>
      <w:pPr>
        <w:tabs>
          <w:tab w:val="num" w:pos="1440"/>
        </w:tabs>
        <w:ind w:left="1440" w:hanging="360"/>
      </w:pPr>
      <w:rPr>
        <w:rFonts w:cs="Times New Roman" w:hint="default"/>
        <w:b w:val="0"/>
        <w:i w:val="0"/>
      </w:rPr>
    </w:lvl>
    <w:lvl w:ilvl="2" w:tplc="619CFD7C">
      <w:start w:val="15"/>
      <w:numFmt w:val="upperRoman"/>
      <w:lvlText w:val="%3."/>
      <w:lvlJc w:val="left"/>
      <w:pPr>
        <w:tabs>
          <w:tab w:val="num" w:pos="2700"/>
        </w:tabs>
        <w:ind w:left="2700" w:hanging="72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43606BF9"/>
    <w:multiLevelType w:val="multilevel"/>
    <w:tmpl w:val="0CFA2A0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4.%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rPr>
    </w:lvl>
  </w:abstractNum>
  <w:abstractNum w:abstractNumId="5">
    <w:nsid w:val="5D9F5DB6"/>
    <w:multiLevelType w:val="multilevel"/>
    <w:tmpl w:val="7F961BF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092616"/>
    <w:multiLevelType w:val="hybridMultilevel"/>
    <w:tmpl w:val="2A0C98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2E15DC"/>
    <w:multiLevelType w:val="hybridMultilevel"/>
    <w:tmpl w:val="9D52E682"/>
    <w:lvl w:ilvl="0" w:tplc="6A942B7E">
      <w:start w:val="1"/>
      <w:numFmt w:val="decimal"/>
      <w:lvlText w:val="%1."/>
      <w:lvlJc w:val="left"/>
      <w:pPr>
        <w:tabs>
          <w:tab w:val="num" w:pos="471"/>
        </w:tabs>
        <w:ind w:left="471"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670032D1"/>
    <w:multiLevelType w:val="hybridMultilevel"/>
    <w:tmpl w:val="E666941A"/>
    <w:lvl w:ilvl="0" w:tplc="18166808">
      <w:start w:val="1"/>
      <w:numFmt w:val="decimal"/>
      <w:lvlText w:val="%1)"/>
      <w:lvlJc w:val="left"/>
      <w:pPr>
        <w:ind w:left="786"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8"/>
  </w:num>
  <w:num w:numId="5">
    <w:abstractNumId w:val="1"/>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A0"/>
    <w:rsid w:val="000001BD"/>
    <w:rsid w:val="0000504F"/>
    <w:rsid w:val="00007A9E"/>
    <w:rsid w:val="00064DE8"/>
    <w:rsid w:val="00072EEF"/>
    <w:rsid w:val="000C50E1"/>
    <w:rsid w:val="000D6EC5"/>
    <w:rsid w:val="000F3F8D"/>
    <w:rsid w:val="001158DF"/>
    <w:rsid w:val="00120BFF"/>
    <w:rsid w:val="001319CF"/>
    <w:rsid w:val="00160D8F"/>
    <w:rsid w:val="00181064"/>
    <w:rsid w:val="001B30CB"/>
    <w:rsid w:val="002314DE"/>
    <w:rsid w:val="00233BFD"/>
    <w:rsid w:val="00241872"/>
    <w:rsid w:val="00250DED"/>
    <w:rsid w:val="00254BEE"/>
    <w:rsid w:val="00262F9F"/>
    <w:rsid w:val="002B6CD8"/>
    <w:rsid w:val="002C4AF9"/>
    <w:rsid w:val="002D329A"/>
    <w:rsid w:val="00305EB5"/>
    <w:rsid w:val="003205E2"/>
    <w:rsid w:val="003271E1"/>
    <w:rsid w:val="00331F70"/>
    <w:rsid w:val="00340D7B"/>
    <w:rsid w:val="00346C68"/>
    <w:rsid w:val="0034770F"/>
    <w:rsid w:val="00352709"/>
    <w:rsid w:val="0035476B"/>
    <w:rsid w:val="003552DE"/>
    <w:rsid w:val="003739DE"/>
    <w:rsid w:val="003873F9"/>
    <w:rsid w:val="003C12A4"/>
    <w:rsid w:val="003C3C11"/>
    <w:rsid w:val="003D40DA"/>
    <w:rsid w:val="003F03A5"/>
    <w:rsid w:val="00420D53"/>
    <w:rsid w:val="00427764"/>
    <w:rsid w:val="00432D53"/>
    <w:rsid w:val="0043622B"/>
    <w:rsid w:val="004413BB"/>
    <w:rsid w:val="00446954"/>
    <w:rsid w:val="00452CB4"/>
    <w:rsid w:val="004737C3"/>
    <w:rsid w:val="00496313"/>
    <w:rsid w:val="004A380F"/>
    <w:rsid w:val="004B6E62"/>
    <w:rsid w:val="004C4FA6"/>
    <w:rsid w:val="004D4168"/>
    <w:rsid w:val="0050133F"/>
    <w:rsid w:val="005034AC"/>
    <w:rsid w:val="00507D45"/>
    <w:rsid w:val="00521BC2"/>
    <w:rsid w:val="00526DE4"/>
    <w:rsid w:val="005567B4"/>
    <w:rsid w:val="0056723C"/>
    <w:rsid w:val="0058268B"/>
    <w:rsid w:val="00583969"/>
    <w:rsid w:val="005850AB"/>
    <w:rsid w:val="00586E96"/>
    <w:rsid w:val="00594EF9"/>
    <w:rsid w:val="005A0B09"/>
    <w:rsid w:val="005A2D1B"/>
    <w:rsid w:val="005B39B8"/>
    <w:rsid w:val="005B6DA2"/>
    <w:rsid w:val="005C13FE"/>
    <w:rsid w:val="005C6C6D"/>
    <w:rsid w:val="005D0296"/>
    <w:rsid w:val="005E1A30"/>
    <w:rsid w:val="005E3AF0"/>
    <w:rsid w:val="00600ACD"/>
    <w:rsid w:val="00627984"/>
    <w:rsid w:val="00632B6B"/>
    <w:rsid w:val="006533B5"/>
    <w:rsid w:val="006564BE"/>
    <w:rsid w:val="00663E2F"/>
    <w:rsid w:val="00664428"/>
    <w:rsid w:val="00667DC5"/>
    <w:rsid w:val="006A1918"/>
    <w:rsid w:val="006A6022"/>
    <w:rsid w:val="006A73A8"/>
    <w:rsid w:val="006B6542"/>
    <w:rsid w:val="006C375A"/>
    <w:rsid w:val="006C739A"/>
    <w:rsid w:val="006D6901"/>
    <w:rsid w:val="006E015C"/>
    <w:rsid w:val="006E2367"/>
    <w:rsid w:val="00704B35"/>
    <w:rsid w:val="00736B5D"/>
    <w:rsid w:val="00745238"/>
    <w:rsid w:val="00746337"/>
    <w:rsid w:val="007523F6"/>
    <w:rsid w:val="00755E92"/>
    <w:rsid w:val="00764EDB"/>
    <w:rsid w:val="00770335"/>
    <w:rsid w:val="00776F90"/>
    <w:rsid w:val="007B4621"/>
    <w:rsid w:val="007E22A2"/>
    <w:rsid w:val="007E62FC"/>
    <w:rsid w:val="008002C8"/>
    <w:rsid w:val="0080363F"/>
    <w:rsid w:val="008247A0"/>
    <w:rsid w:val="00825721"/>
    <w:rsid w:val="00841A06"/>
    <w:rsid w:val="00874B40"/>
    <w:rsid w:val="00876C29"/>
    <w:rsid w:val="008C0E3E"/>
    <w:rsid w:val="008C0E91"/>
    <w:rsid w:val="008E722B"/>
    <w:rsid w:val="008F3DAB"/>
    <w:rsid w:val="008F3EB6"/>
    <w:rsid w:val="008F3F07"/>
    <w:rsid w:val="008F6831"/>
    <w:rsid w:val="009130DA"/>
    <w:rsid w:val="00955648"/>
    <w:rsid w:val="00967938"/>
    <w:rsid w:val="00990A90"/>
    <w:rsid w:val="0099656E"/>
    <w:rsid w:val="0099710D"/>
    <w:rsid w:val="00997194"/>
    <w:rsid w:val="009A34D7"/>
    <w:rsid w:val="009C2964"/>
    <w:rsid w:val="009C3049"/>
    <w:rsid w:val="009E5F43"/>
    <w:rsid w:val="009F64A0"/>
    <w:rsid w:val="00A0729C"/>
    <w:rsid w:val="00A13D25"/>
    <w:rsid w:val="00A14C95"/>
    <w:rsid w:val="00A26336"/>
    <w:rsid w:val="00A2645F"/>
    <w:rsid w:val="00A3770A"/>
    <w:rsid w:val="00A40420"/>
    <w:rsid w:val="00A40AD8"/>
    <w:rsid w:val="00A42C74"/>
    <w:rsid w:val="00A4591A"/>
    <w:rsid w:val="00A46BB2"/>
    <w:rsid w:val="00A61424"/>
    <w:rsid w:val="00A63DDD"/>
    <w:rsid w:val="00A77511"/>
    <w:rsid w:val="00A842D1"/>
    <w:rsid w:val="00A845DA"/>
    <w:rsid w:val="00AA6EBB"/>
    <w:rsid w:val="00AC5DB9"/>
    <w:rsid w:val="00AD40E4"/>
    <w:rsid w:val="00AD57C5"/>
    <w:rsid w:val="00AF3E77"/>
    <w:rsid w:val="00B358F5"/>
    <w:rsid w:val="00B4538A"/>
    <w:rsid w:val="00B535A0"/>
    <w:rsid w:val="00B61376"/>
    <w:rsid w:val="00B61506"/>
    <w:rsid w:val="00B75F5C"/>
    <w:rsid w:val="00B968EC"/>
    <w:rsid w:val="00BC6D37"/>
    <w:rsid w:val="00BD032C"/>
    <w:rsid w:val="00BF439E"/>
    <w:rsid w:val="00C00EB4"/>
    <w:rsid w:val="00C20E54"/>
    <w:rsid w:val="00C22DC2"/>
    <w:rsid w:val="00C3390D"/>
    <w:rsid w:val="00C735E4"/>
    <w:rsid w:val="00C75932"/>
    <w:rsid w:val="00C825F4"/>
    <w:rsid w:val="00C86DD5"/>
    <w:rsid w:val="00C911A4"/>
    <w:rsid w:val="00C918BA"/>
    <w:rsid w:val="00CB2778"/>
    <w:rsid w:val="00CB4EF7"/>
    <w:rsid w:val="00CB7416"/>
    <w:rsid w:val="00CC412B"/>
    <w:rsid w:val="00CF35A4"/>
    <w:rsid w:val="00CF3BFC"/>
    <w:rsid w:val="00D01258"/>
    <w:rsid w:val="00D013FD"/>
    <w:rsid w:val="00D16D49"/>
    <w:rsid w:val="00D2585A"/>
    <w:rsid w:val="00D33ADD"/>
    <w:rsid w:val="00D362D9"/>
    <w:rsid w:val="00D431DC"/>
    <w:rsid w:val="00D5035E"/>
    <w:rsid w:val="00D50A38"/>
    <w:rsid w:val="00D74CDE"/>
    <w:rsid w:val="00D84620"/>
    <w:rsid w:val="00D849D0"/>
    <w:rsid w:val="00DD35CD"/>
    <w:rsid w:val="00DD5B7E"/>
    <w:rsid w:val="00DE47FE"/>
    <w:rsid w:val="00DF158D"/>
    <w:rsid w:val="00DF6888"/>
    <w:rsid w:val="00DF6AB7"/>
    <w:rsid w:val="00E04363"/>
    <w:rsid w:val="00E06BCD"/>
    <w:rsid w:val="00E325A0"/>
    <w:rsid w:val="00E32739"/>
    <w:rsid w:val="00E4774B"/>
    <w:rsid w:val="00E47CC4"/>
    <w:rsid w:val="00E643B6"/>
    <w:rsid w:val="00E70CFF"/>
    <w:rsid w:val="00E743DC"/>
    <w:rsid w:val="00E82C1C"/>
    <w:rsid w:val="00E9256F"/>
    <w:rsid w:val="00EB1C9F"/>
    <w:rsid w:val="00EB2ECF"/>
    <w:rsid w:val="00EB4F8C"/>
    <w:rsid w:val="00EC273A"/>
    <w:rsid w:val="00EC2C69"/>
    <w:rsid w:val="00EE6240"/>
    <w:rsid w:val="00EF169E"/>
    <w:rsid w:val="00F03AB9"/>
    <w:rsid w:val="00F11200"/>
    <w:rsid w:val="00F12579"/>
    <w:rsid w:val="00F23BA6"/>
    <w:rsid w:val="00F3334C"/>
    <w:rsid w:val="00F35D0D"/>
    <w:rsid w:val="00F52FDB"/>
    <w:rsid w:val="00F91E60"/>
    <w:rsid w:val="00F96BCF"/>
    <w:rsid w:val="00F96D73"/>
    <w:rsid w:val="00FA0A14"/>
    <w:rsid w:val="00FA1EEE"/>
    <w:rsid w:val="00FA45CC"/>
    <w:rsid w:val="00FD2531"/>
    <w:rsid w:val="00FD3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24D86"/>
  <w15:chartTrackingRefBased/>
  <w15:docId w15:val="{CC302D24-62DE-45B2-9D4A-75D16D35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64A0"/>
    <w:pPr>
      <w:spacing w:after="200" w:line="276" w:lineRule="auto"/>
    </w:pPr>
    <w:rPr>
      <w:rFonts w:ascii="Calibri" w:eastAsia="Calibri" w:hAnsi="Calibri"/>
      <w:sz w:val="22"/>
      <w:szCs w:val="22"/>
      <w:lang w:eastAsia="en-US"/>
    </w:rPr>
  </w:style>
  <w:style w:type="paragraph" w:styleId="Nagwek3">
    <w:name w:val="heading 3"/>
    <w:basedOn w:val="Normalny"/>
    <w:next w:val="Normalny"/>
    <w:link w:val="Nagwek3Znak"/>
    <w:qFormat/>
    <w:rsid w:val="0034770F"/>
    <w:pPr>
      <w:keepNext/>
      <w:numPr>
        <w:ilvl w:val="2"/>
        <w:numId w:val="2"/>
      </w:numPr>
      <w:suppressAutoHyphens/>
      <w:spacing w:before="240" w:after="60" w:line="240" w:lineRule="auto"/>
      <w:outlineLvl w:val="2"/>
    </w:pPr>
    <w:rPr>
      <w:rFonts w:ascii="Arial" w:eastAsia="Times New Roman" w:hAnsi="Arial"/>
      <w:b/>
      <w:b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F64A0"/>
    <w:pPr>
      <w:ind w:left="720"/>
      <w:contextualSpacing/>
    </w:pPr>
  </w:style>
  <w:style w:type="paragraph" w:customStyle="1" w:styleId="Tekstpodstawowy21">
    <w:name w:val="Tekst podstawowy 21"/>
    <w:basedOn w:val="Normalny"/>
    <w:rsid w:val="009F64A0"/>
    <w:pPr>
      <w:suppressAutoHyphens/>
      <w:spacing w:after="0" w:line="240" w:lineRule="auto"/>
      <w:jc w:val="both"/>
    </w:pPr>
    <w:rPr>
      <w:rFonts w:ascii="Arial" w:hAnsi="Arial"/>
      <w:b/>
      <w:sz w:val="24"/>
      <w:szCs w:val="24"/>
      <w:lang w:eastAsia="ar-SA"/>
    </w:rPr>
  </w:style>
  <w:style w:type="character" w:customStyle="1" w:styleId="Nagwek3Znak">
    <w:name w:val="Nagłówek 3 Znak"/>
    <w:link w:val="Nagwek3"/>
    <w:rsid w:val="0034770F"/>
    <w:rPr>
      <w:rFonts w:ascii="Arial" w:hAnsi="Arial" w:cs="Arial"/>
      <w:b/>
      <w:bCs/>
      <w:sz w:val="26"/>
      <w:szCs w:val="26"/>
      <w:lang w:eastAsia="ar-SA"/>
    </w:rPr>
  </w:style>
  <w:style w:type="character" w:styleId="Odwoaniedokomentarza">
    <w:name w:val="annotation reference"/>
    <w:rsid w:val="00C22DC2"/>
    <w:rPr>
      <w:sz w:val="16"/>
      <w:szCs w:val="16"/>
    </w:rPr>
  </w:style>
  <w:style w:type="paragraph" w:styleId="Tekstkomentarza">
    <w:name w:val="annotation text"/>
    <w:basedOn w:val="Normalny"/>
    <w:link w:val="TekstkomentarzaZnak"/>
    <w:rsid w:val="00C22DC2"/>
    <w:rPr>
      <w:sz w:val="20"/>
      <w:szCs w:val="20"/>
    </w:rPr>
  </w:style>
  <w:style w:type="character" w:customStyle="1" w:styleId="TekstkomentarzaZnak">
    <w:name w:val="Tekst komentarza Znak"/>
    <w:link w:val="Tekstkomentarza"/>
    <w:rsid w:val="00C22DC2"/>
    <w:rPr>
      <w:rFonts w:ascii="Calibri" w:eastAsia="Calibri" w:hAnsi="Calibri"/>
      <w:lang w:eastAsia="en-US"/>
    </w:rPr>
  </w:style>
  <w:style w:type="paragraph" w:styleId="Tematkomentarza">
    <w:name w:val="annotation subject"/>
    <w:basedOn w:val="Tekstkomentarza"/>
    <w:next w:val="Tekstkomentarza"/>
    <w:link w:val="TematkomentarzaZnak"/>
    <w:rsid w:val="00C22DC2"/>
    <w:rPr>
      <w:b/>
      <w:bCs/>
    </w:rPr>
  </w:style>
  <w:style w:type="character" w:customStyle="1" w:styleId="TematkomentarzaZnak">
    <w:name w:val="Temat komentarza Znak"/>
    <w:link w:val="Tematkomentarza"/>
    <w:rsid w:val="00C22DC2"/>
    <w:rPr>
      <w:rFonts w:ascii="Calibri" w:eastAsia="Calibri" w:hAnsi="Calibri"/>
      <w:b/>
      <w:bCs/>
      <w:lang w:eastAsia="en-US"/>
    </w:rPr>
  </w:style>
  <w:style w:type="paragraph" w:styleId="Tekstdymka">
    <w:name w:val="Balloon Text"/>
    <w:basedOn w:val="Normalny"/>
    <w:link w:val="TekstdymkaZnak"/>
    <w:rsid w:val="00C22DC2"/>
    <w:pPr>
      <w:spacing w:after="0" w:line="240" w:lineRule="auto"/>
    </w:pPr>
    <w:rPr>
      <w:rFonts w:ascii="Tahoma" w:hAnsi="Tahoma" w:cs="Tahoma"/>
      <w:sz w:val="16"/>
      <w:szCs w:val="16"/>
    </w:rPr>
  </w:style>
  <w:style w:type="character" w:customStyle="1" w:styleId="TekstdymkaZnak">
    <w:name w:val="Tekst dymka Znak"/>
    <w:link w:val="Tekstdymka"/>
    <w:rsid w:val="00C22DC2"/>
    <w:rPr>
      <w:rFonts w:ascii="Tahoma" w:eastAsia="Calibri" w:hAnsi="Tahoma" w:cs="Tahoma"/>
      <w:sz w:val="16"/>
      <w:szCs w:val="16"/>
      <w:lang w:eastAsia="en-US"/>
    </w:rPr>
  </w:style>
  <w:style w:type="character" w:styleId="Hipercze">
    <w:name w:val="Hyperlink"/>
    <w:rsid w:val="000001BD"/>
    <w:rPr>
      <w:color w:val="0563C1"/>
      <w:u w:val="single"/>
    </w:rPr>
  </w:style>
  <w:style w:type="paragraph" w:styleId="NormalnyWeb">
    <w:name w:val="Normal (Web)"/>
    <w:basedOn w:val="Normalny"/>
    <w:uiPriority w:val="99"/>
    <w:unhideWhenUsed/>
    <w:rsid w:val="000001BD"/>
    <w:pPr>
      <w:spacing w:before="100" w:beforeAutospacing="1" w:after="100" w:afterAutospacing="1" w:line="240" w:lineRule="auto"/>
    </w:pPr>
    <w:rPr>
      <w:rFonts w:ascii="Times New Roman" w:eastAsia="Times New Roman" w:hAnsi="Times New Roman"/>
      <w:sz w:val="24"/>
      <w:szCs w:val="24"/>
      <w:lang w:val="en-US"/>
    </w:rPr>
  </w:style>
  <w:style w:type="character" w:styleId="Pogrubienie">
    <w:name w:val="Strong"/>
    <w:uiPriority w:val="22"/>
    <w:qFormat/>
    <w:rsid w:val="000001BD"/>
    <w:rPr>
      <w:b/>
      <w:bCs/>
    </w:rPr>
  </w:style>
  <w:style w:type="paragraph" w:styleId="Akapitzlist">
    <w:name w:val="List Paragraph"/>
    <w:aliases w:val="Lista punktowana1,Lista punktowana2,Lista punktowana3,List bullet"/>
    <w:basedOn w:val="Normalny"/>
    <w:link w:val="AkapitzlistZnak"/>
    <w:uiPriority w:val="34"/>
    <w:qFormat/>
    <w:rsid w:val="005850AB"/>
    <w:pPr>
      <w:ind w:left="708"/>
    </w:pPr>
  </w:style>
  <w:style w:type="character" w:customStyle="1" w:styleId="AkapitzlistZnak">
    <w:name w:val="Akapit z listą Znak"/>
    <w:aliases w:val="Lista punktowana1 Znak,Lista punktowana2 Znak,Lista punktowana3 Znak,List bullet Znak"/>
    <w:link w:val="Akapitzlist"/>
    <w:uiPriority w:val="34"/>
    <w:rsid w:val="008247A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0AF29-8B57-4762-B65C-895C2D55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3235</Words>
  <Characters>19411</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abura</dc:creator>
  <cp:keywords/>
  <cp:lastModifiedBy>HP</cp:lastModifiedBy>
  <cp:revision>7</cp:revision>
  <cp:lastPrinted>2019-07-16T08:16:00Z</cp:lastPrinted>
  <dcterms:created xsi:type="dcterms:W3CDTF">2020-04-23T12:26:00Z</dcterms:created>
  <dcterms:modified xsi:type="dcterms:W3CDTF">2020-04-23T16:58:00Z</dcterms:modified>
</cp:coreProperties>
</file>