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2DA77" w14:textId="77777777" w:rsidR="004F4EE7" w:rsidRPr="00D96F10" w:rsidRDefault="004F4EE7" w:rsidP="00F838A6">
      <w:pPr>
        <w:spacing w:line="276" w:lineRule="auto"/>
        <w:jc w:val="right"/>
        <w:rPr>
          <w:rFonts w:asciiTheme="minorHAnsi" w:hAnsiTheme="minorHAnsi" w:cstheme="minorHAnsi"/>
          <w:b/>
          <w:bCs/>
          <w:iCs/>
        </w:rPr>
      </w:pPr>
      <w:bookmarkStart w:id="0" w:name="_GoBack"/>
      <w:bookmarkEnd w:id="0"/>
      <w:r w:rsidRPr="00D96F10">
        <w:rPr>
          <w:rFonts w:asciiTheme="minorHAnsi" w:hAnsiTheme="minorHAnsi" w:cstheme="minorHAnsi"/>
          <w:b/>
          <w:bCs/>
          <w:iCs/>
        </w:rPr>
        <w:t>Załącznik nr 3 do Umowy</w:t>
      </w:r>
    </w:p>
    <w:p w14:paraId="0353BA8F" w14:textId="77777777" w:rsidR="007E59BD" w:rsidRPr="00D96F10" w:rsidRDefault="007E59BD" w:rsidP="00F838A6">
      <w:pPr>
        <w:spacing w:line="276" w:lineRule="auto"/>
        <w:rPr>
          <w:rFonts w:asciiTheme="minorHAnsi" w:hAnsiTheme="minorHAnsi" w:cstheme="minorHAnsi"/>
          <w:iCs/>
        </w:rPr>
      </w:pPr>
    </w:p>
    <w:p w14:paraId="3E28C3AF" w14:textId="476B586A" w:rsidR="004F4EE7" w:rsidRPr="00D96F10" w:rsidRDefault="004F4EE7" w:rsidP="00F838A6">
      <w:pPr>
        <w:spacing w:line="276" w:lineRule="auto"/>
        <w:jc w:val="center"/>
        <w:rPr>
          <w:rFonts w:asciiTheme="minorHAnsi" w:hAnsiTheme="minorHAnsi" w:cstheme="minorHAnsi"/>
          <w:b/>
          <w:bCs/>
          <w:iCs/>
        </w:rPr>
      </w:pPr>
      <w:r w:rsidRPr="00D96F10">
        <w:rPr>
          <w:rFonts w:asciiTheme="minorHAnsi" w:hAnsiTheme="minorHAnsi" w:cstheme="minorHAnsi"/>
          <w:b/>
          <w:bCs/>
          <w:iCs/>
        </w:rPr>
        <w:t xml:space="preserve">Tabela podziału </w:t>
      </w:r>
      <w:proofErr w:type="spellStart"/>
      <w:r w:rsidRPr="00D96F10">
        <w:rPr>
          <w:rFonts w:asciiTheme="minorHAnsi" w:hAnsiTheme="minorHAnsi" w:cstheme="minorHAnsi"/>
          <w:b/>
          <w:bCs/>
          <w:iCs/>
        </w:rPr>
        <w:t>ryzyk</w:t>
      </w:r>
      <w:proofErr w:type="spellEnd"/>
    </w:p>
    <w:p w14:paraId="3CE7F235" w14:textId="77777777" w:rsidR="004F4EE7" w:rsidRPr="00D96F10" w:rsidRDefault="004F4EE7" w:rsidP="00F838A6">
      <w:pPr>
        <w:pStyle w:val="Akapitzlist"/>
        <w:ind w:left="360"/>
        <w:jc w:val="both"/>
        <w:rPr>
          <w:rFonts w:asciiTheme="minorHAnsi" w:hAnsiTheme="minorHAnsi" w:cstheme="minorHAnsi"/>
          <w:b/>
          <w:spacing w:val="4"/>
        </w:rPr>
      </w:pPr>
      <w:bookmarkStart w:id="1" w:name="_Ref519854682"/>
    </w:p>
    <w:bookmarkEnd w:id="1"/>
    <w:p w14:paraId="2943BFBC" w14:textId="77777777" w:rsidR="000744BE" w:rsidRPr="00D96F10" w:rsidRDefault="000744BE" w:rsidP="00F838A6">
      <w:pPr>
        <w:spacing w:line="276" w:lineRule="auto"/>
        <w:rPr>
          <w:rFonts w:asciiTheme="minorHAnsi" w:hAnsiTheme="minorHAnsi" w:cstheme="minorHAnsi"/>
          <w:spacing w:val="4"/>
        </w:rPr>
      </w:pPr>
      <w:r w:rsidRPr="00D96F10">
        <w:rPr>
          <w:rFonts w:asciiTheme="minorHAnsi" w:hAnsiTheme="minorHAnsi" w:cstheme="minorHAnsi"/>
          <w:spacing w:val="4"/>
        </w:rPr>
        <w:t xml:space="preserve">Strony zgodnie postanawiają, że realizacja Przedsięwzięcia oparta będzie na podziale </w:t>
      </w:r>
      <w:proofErr w:type="spellStart"/>
      <w:r w:rsidRPr="00D96F10">
        <w:rPr>
          <w:rFonts w:asciiTheme="minorHAnsi" w:hAnsiTheme="minorHAnsi" w:cstheme="minorHAnsi"/>
          <w:spacing w:val="4"/>
        </w:rPr>
        <w:t>ryzyk</w:t>
      </w:r>
      <w:proofErr w:type="spellEnd"/>
      <w:r w:rsidRPr="00D96F10">
        <w:rPr>
          <w:rFonts w:asciiTheme="minorHAnsi" w:hAnsiTheme="minorHAnsi" w:cstheme="minorHAnsi"/>
          <w:spacing w:val="4"/>
        </w:rPr>
        <w:t xml:space="preserve"> między Stronami. </w:t>
      </w:r>
    </w:p>
    <w:p w14:paraId="271F5907" w14:textId="1F39322D" w:rsidR="00B70BEC" w:rsidRPr="00D96F10" w:rsidRDefault="00B70BEC" w:rsidP="00F838A6">
      <w:pPr>
        <w:spacing w:line="276" w:lineRule="auto"/>
        <w:rPr>
          <w:rFonts w:asciiTheme="minorHAnsi" w:hAnsiTheme="minorHAnsi" w:cstheme="minorHAnsi"/>
          <w:b/>
          <w:bCs/>
          <w:spacing w:val="4"/>
        </w:rPr>
      </w:pPr>
      <w:r w:rsidRPr="00D96F10">
        <w:rPr>
          <w:rFonts w:asciiTheme="minorHAnsi" w:hAnsiTheme="minorHAnsi" w:cstheme="minorHAnsi"/>
          <w:b/>
          <w:bCs/>
          <w:spacing w:val="4"/>
        </w:rPr>
        <w:t xml:space="preserve">1.1. Ryzyka </w:t>
      </w:r>
      <w:r w:rsidR="001343D7" w:rsidRPr="00D96F10">
        <w:rPr>
          <w:rFonts w:asciiTheme="minorHAnsi" w:hAnsiTheme="minorHAnsi" w:cstheme="minorHAnsi"/>
          <w:b/>
          <w:bCs/>
          <w:spacing w:val="4"/>
        </w:rPr>
        <w:t xml:space="preserve">Projektowania i </w:t>
      </w:r>
      <w:r w:rsidRPr="00D96F10">
        <w:rPr>
          <w:rFonts w:asciiTheme="minorHAnsi" w:hAnsiTheme="minorHAnsi" w:cstheme="minorHAnsi"/>
          <w:b/>
          <w:bCs/>
          <w:spacing w:val="4"/>
        </w:rPr>
        <w:t>Budowy ponoszone przez Partnera Prywatnego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2792"/>
        <w:gridCol w:w="6539"/>
      </w:tblGrid>
      <w:tr w:rsidR="00D96F10" w:rsidRPr="00D96F10" w14:paraId="411701DD" w14:textId="77777777" w:rsidTr="004F4EE7">
        <w:tc>
          <w:tcPr>
            <w:tcW w:w="10206" w:type="dxa"/>
            <w:gridSpan w:val="3"/>
          </w:tcPr>
          <w:p w14:paraId="78A73130" w14:textId="1077BA3D" w:rsidR="0030779F" w:rsidRPr="00D96F10" w:rsidRDefault="00AF6DF2" w:rsidP="00F838A6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6F10">
              <w:rPr>
                <w:rFonts w:asciiTheme="minorHAnsi" w:hAnsiTheme="minorHAnsi" w:cstheme="minorHAnsi"/>
                <w:b/>
              </w:rPr>
              <w:t xml:space="preserve">Ryzyka </w:t>
            </w:r>
            <w:r w:rsidR="00D637F9" w:rsidRPr="00D96F10">
              <w:rPr>
                <w:rFonts w:asciiTheme="minorHAnsi" w:hAnsiTheme="minorHAnsi" w:cstheme="minorHAnsi"/>
                <w:b/>
              </w:rPr>
              <w:t xml:space="preserve">Projektowania i </w:t>
            </w:r>
            <w:r w:rsidR="00B70BEC" w:rsidRPr="00D96F10">
              <w:rPr>
                <w:rFonts w:asciiTheme="minorHAnsi" w:hAnsiTheme="minorHAnsi" w:cstheme="minorHAnsi"/>
                <w:b/>
              </w:rPr>
              <w:t>B</w:t>
            </w:r>
            <w:r w:rsidRPr="00D96F10">
              <w:rPr>
                <w:rFonts w:asciiTheme="minorHAnsi" w:hAnsiTheme="minorHAnsi" w:cstheme="minorHAnsi"/>
                <w:b/>
              </w:rPr>
              <w:t>udowy ponoszone przez Partnera Prywatnego</w:t>
            </w:r>
          </w:p>
        </w:tc>
      </w:tr>
      <w:tr w:rsidR="00D96F10" w:rsidRPr="00D96F10" w14:paraId="2EAAFBDD" w14:textId="77777777" w:rsidTr="004F4EE7">
        <w:tc>
          <w:tcPr>
            <w:tcW w:w="875" w:type="dxa"/>
            <w:vAlign w:val="center"/>
          </w:tcPr>
          <w:p w14:paraId="2AAF45D7" w14:textId="77777777" w:rsidR="0030779F" w:rsidRPr="00D96F10" w:rsidRDefault="00AF6DF2" w:rsidP="00F838A6">
            <w:pPr>
              <w:spacing w:before="120" w:line="276" w:lineRule="auto"/>
              <w:rPr>
                <w:rFonts w:asciiTheme="minorHAnsi" w:hAnsiTheme="minorHAnsi" w:cstheme="minorHAnsi"/>
                <w:b/>
              </w:rPr>
            </w:pPr>
            <w:r w:rsidRPr="00D96F10">
              <w:rPr>
                <w:rFonts w:asciiTheme="minorHAnsi" w:hAnsiTheme="minorHAnsi" w:cstheme="minorHAnsi"/>
                <w:b/>
              </w:rPr>
              <w:t>Pkt</w:t>
            </w:r>
          </w:p>
        </w:tc>
        <w:tc>
          <w:tcPr>
            <w:tcW w:w="2792" w:type="dxa"/>
          </w:tcPr>
          <w:p w14:paraId="211718AE" w14:textId="77777777" w:rsidR="0030779F" w:rsidRPr="00D96F10" w:rsidRDefault="00AF6DF2" w:rsidP="00F838A6">
            <w:pPr>
              <w:spacing w:before="120" w:line="276" w:lineRule="auto"/>
              <w:rPr>
                <w:rFonts w:asciiTheme="minorHAnsi" w:hAnsiTheme="minorHAnsi" w:cstheme="minorHAnsi"/>
                <w:b/>
              </w:rPr>
            </w:pPr>
            <w:r w:rsidRPr="00D96F10">
              <w:rPr>
                <w:rFonts w:asciiTheme="minorHAnsi" w:hAnsiTheme="minorHAnsi" w:cstheme="minorHAnsi"/>
                <w:b/>
              </w:rPr>
              <w:t>Kategoria ryzyka</w:t>
            </w:r>
          </w:p>
        </w:tc>
        <w:tc>
          <w:tcPr>
            <w:tcW w:w="6539" w:type="dxa"/>
          </w:tcPr>
          <w:p w14:paraId="0E1AA14F" w14:textId="77777777" w:rsidR="0030779F" w:rsidRPr="00D96F10" w:rsidRDefault="00AF6DF2" w:rsidP="00F838A6">
            <w:pPr>
              <w:spacing w:before="120" w:line="276" w:lineRule="auto"/>
              <w:rPr>
                <w:rFonts w:asciiTheme="minorHAnsi" w:hAnsiTheme="minorHAnsi" w:cstheme="minorHAnsi"/>
                <w:b/>
              </w:rPr>
            </w:pPr>
            <w:r w:rsidRPr="00D96F10">
              <w:rPr>
                <w:rFonts w:asciiTheme="minorHAnsi" w:hAnsiTheme="minorHAnsi" w:cstheme="minorHAnsi"/>
                <w:b/>
              </w:rPr>
              <w:t>Opis ryzyka</w:t>
            </w:r>
          </w:p>
        </w:tc>
      </w:tr>
      <w:tr w:rsidR="00D96F10" w:rsidRPr="00D96F10" w14:paraId="5ABFE59E" w14:textId="77777777" w:rsidTr="004F4EE7">
        <w:tc>
          <w:tcPr>
            <w:tcW w:w="875" w:type="dxa"/>
            <w:vAlign w:val="center"/>
          </w:tcPr>
          <w:p w14:paraId="708D0E8C" w14:textId="77777777" w:rsidR="0030779F" w:rsidRPr="00D96F10" w:rsidRDefault="00AF6DF2" w:rsidP="00F838A6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D96F10">
              <w:rPr>
                <w:rFonts w:asciiTheme="minorHAnsi" w:hAnsiTheme="minorHAnsi" w:cstheme="minorHAnsi"/>
                <w:lang w:eastAsia="en-US"/>
              </w:rPr>
              <w:t>1.1.1</w:t>
            </w:r>
          </w:p>
        </w:tc>
        <w:tc>
          <w:tcPr>
            <w:tcW w:w="2792" w:type="dxa"/>
            <w:vAlign w:val="center"/>
          </w:tcPr>
          <w:p w14:paraId="6E73F2B7" w14:textId="77777777" w:rsidR="0030779F" w:rsidRPr="00D96F10" w:rsidRDefault="00AF6DF2" w:rsidP="00F838A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96F10">
              <w:rPr>
                <w:rFonts w:asciiTheme="minorHAnsi" w:hAnsiTheme="minorHAnsi" w:cstheme="minorHAnsi"/>
              </w:rPr>
              <w:t>Ryzyka związane z warunkami geologicznymi, geotechnicznymi i hydrologicznymi</w:t>
            </w:r>
          </w:p>
          <w:p w14:paraId="71333902" w14:textId="77777777" w:rsidR="0030779F" w:rsidRPr="00D96F10" w:rsidRDefault="0030779F" w:rsidP="00F838A6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551EFC88" w14:textId="77777777" w:rsidR="0030779F" w:rsidRPr="00D96F10" w:rsidRDefault="0030779F" w:rsidP="00F838A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39" w:type="dxa"/>
          </w:tcPr>
          <w:p w14:paraId="20CAE285" w14:textId="77777777" w:rsidR="004A3DEF" w:rsidRPr="00D96F10" w:rsidRDefault="004A3DEF" w:rsidP="00F838A6">
            <w:pPr>
              <w:spacing w:before="120" w:after="120" w:line="276" w:lineRule="auto"/>
              <w:rPr>
                <w:rFonts w:asciiTheme="minorHAnsi" w:hAnsiTheme="minorHAnsi" w:cstheme="minorHAnsi"/>
                <w:spacing w:val="4"/>
              </w:rPr>
            </w:pPr>
            <w:r w:rsidRPr="00D96F10">
              <w:rPr>
                <w:rFonts w:asciiTheme="minorHAnsi" w:hAnsiTheme="minorHAnsi" w:cstheme="minorHAnsi"/>
                <w:spacing w:val="4"/>
              </w:rPr>
              <w:t xml:space="preserve">W przypadku gdy w trakcie realizacji Etapu Inwestycyjnego wystąpią niedające się przewidzieć w Dniu Zawarcia Umowy niekorzystne </w:t>
            </w:r>
            <w:r w:rsidRPr="00D96F10">
              <w:rPr>
                <w:rFonts w:asciiTheme="minorHAnsi" w:hAnsiTheme="minorHAnsi" w:cstheme="minorHAnsi"/>
              </w:rPr>
              <w:t xml:space="preserve">warunki geologiczne, geotechniczne lub hydrologiczne skutkujące </w:t>
            </w:r>
            <w:r w:rsidRPr="00D96F10">
              <w:rPr>
                <w:rFonts w:asciiTheme="minorHAnsi" w:hAnsiTheme="minorHAnsi" w:cstheme="minorHAnsi"/>
                <w:spacing w:val="4"/>
              </w:rPr>
              <w:t xml:space="preserve">koniecznością wykonania dodatkowych pomiarów lub badań, wówczas Partner Prywatny wykona je na własny koszt i przedstawi ich wyniki Podmiotowi Publicznemu. </w:t>
            </w:r>
          </w:p>
          <w:p w14:paraId="2260DE7C" w14:textId="31F9019C" w:rsidR="004A3DEF" w:rsidRPr="00D96F10" w:rsidRDefault="004A3DEF" w:rsidP="00F838A6">
            <w:pPr>
              <w:spacing w:after="120" w:line="276" w:lineRule="auto"/>
              <w:ind w:left="33"/>
              <w:outlineLvl w:val="3"/>
              <w:rPr>
                <w:rFonts w:asciiTheme="minorHAnsi" w:eastAsia="MS Reference Sans Serif" w:hAnsiTheme="minorHAnsi" w:cstheme="minorHAnsi"/>
                <w:spacing w:val="4"/>
              </w:rPr>
            </w:pPr>
            <w:bookmarkStart w:id="2" w:name="_Ref318296584"/>
            <w:r w:rsidRPr="00D96F10">
              <w:rPr>
                <w:rFonts w:asciiTheme="minorHAnsi" w:eastAsia="MS Reference Sans Serif" w:hAnsiTheme="minorHAnsi" w:cstheme="minorHAnsi"/>
                <w:spacing w:val="4"/>
              </w:rPr>
              <w:t xml:space="preserve">W przypadku odkrycia w trakcie Etapu Inwestycyjnego zanieczyszczenia i skażenia gleby na Terenie Budowy powstałego przed dniem zawarcia Umowy </w:t>
            </w:r>
            <w:r w:rsidR="001343D7" w:rsidRPr="00D96F10">
              <w:rPr>
                <w:rFonts w:asciiTheme="minorHAnsi" w:eastAsia="MS Reference Sans Serif" w:hAnsiTheme="minorHAnsi" w:cstheme="minorHAnsi"/>
                <w:spacing w:val="4"/>
              </w:rPr>
              <w:t>U</w:t>
            </w:r>
            <w:r w:rsidR="004402E3" w:rsidRPr="00D96F10">
              <w:rPr>
                <w:rFonts w:asciiTheme="minorHAnsi" w:eastAsia="MS Reference Sans Serif" w:hAnsiTheme="minorHAnsi" w:cstheme="minorHAnsi"/>
                <w:spacing w:val="4"/>
              </w:rPr>
              <w:t>życzenia Partner</w:t>
            </w:r>
            <w:r w:rsidR="00AF6DF2" w:rsidRPr="00D96F10">
              <w:rPr>
                <w:rFonts w:asciiTheme="minorHAnsi" w:eastAsia="MS Reference Sans Serif" w:hAnsiTheme="minorHAnsi" w:cstheme="minorHAnsi"/>
                <w:spacing w:val="4"/>
              </w:rPr>
              <w:t xml:space="preserve"> Prywatny powiadomi niezwłocznie o tym fakcie Podmiot Publiczny i odpowiednie organy administracji</w:t>
            </w:r>
            <w:bookmarkEnd w:id="2"/>
            <w:r w:rsidR="00AF6DF2" w:rsidRPr="00D96F10">
              <w:rPr>
                <w:rFonts w:asciiTheme="minorHAnsi" w:eastAsia="MS Reference Sans Serif" w:hAnsiTheme="minorHAnsi" w:cstheme="minorHAnsi"/>
                <w:spacing w:val="4"/>
              </w:rPr>
              <w:t xml:space="preserve">. </w:t>
            </w:r>
          </w:p>
          <w:p w14:paraId="79441089" w14:textId="77777777" w:rsidR="004A3DEF" w:rsidRPr="00D96F10" w:rsidRDefault="00AF6DF2" w:rsidP="00F838A6">
            <w:pPr>
              <w:spacing w:line="276" w:lineRule="auto"/>
              <w:ind w:left="33"/>
              <w:outlineLvl w:val="3"/>
              <w:rPr>
                <w:rFonts w:asciiTheme="minorHAnsi" w:eastAsia="MS Reference Sans Serif" w:hAnsiTheme="minorHAnsi" w:cstheme="minorHAnsi"/>
                <w:spacing w:val="4"/>
              </w:rPr>
            </w:pPr>
            <w:r w:rsidRPr="00D96F10">
              <w:rPr>
                <w:rFonts w:asciiTheme="minorHAnsi" w:eastAsia="MS Reference Sans Serif" w:hAnsiTheme="minorHAnsi" w:cstheme="minorHAnsi"/>
                <w:spacing w:val="4"/>
              </w:rPr>
              <w:t>Jeżeli:</w:t>
            </w:r>
          </w:p>
          <w:p w14:paraId="433B61A3" w14:textId="77777777" w:rsidR="004A3DEF" w:rsidRPr="00D96F10" w:rsidRDefault="004A3DEF" w:rsidP="00F838A6">
            <w:pPr>
              <w:numPr>
                <w:ilvl w:val="4"/>
                <w:numId w:val="100"/>
              </w:numPr>
              <w:spacing w:after="200" w:line="276" w:lineRule="auto"/>
              <w:ind w:left="317" w:hanging="283"/>
              <w:outlineLvl w:val="4"/>
              <w:rPr>
                <w:rFonts w:asciiTheme="minorHAnsi" w:eastAsia="ArialNarrow" w:hAnsiTheme="minorHAnsi" w:cstheme="minorHAnsi"/>
                <w:lang w:eastAsia="en-US"/>
              </w:rPr>
            </w:pPr>
            <w:r w:rsidRPr="00D96F10">
              <w:rPr>
                <w:rFonts w:asciiTheme="minorHAnsi" w:eastAsia="ArialNarrow" w:hAnsiTheme="minorHAnsi" w:cstheme="minorHAnsi"/>
                <w:lang w:eastAsia="en-US"/>
              </w:rPr>
              <w:t>Partner Prywatny otrzyma takie instrukcje od odpowiednich organów administracji, wówczas umożliwi ich oczyszczenie, uzdatnienie lub w inny sposób zajęcie się zanieczyszczoną i skażoną glebą na Terenie Budowy</w:t>
            </w:r>
            <w:r w:rsidR="004F4EE7" w:rsidRPr="00D96F10">
              <w:rPr>
                <w:rFonts w:asciiTheme="minorHAnsi" w:eastAsia="ArialNarrow" w:hAnsiTheme="minorHAnsi" w:cstheme="minorHAnsi"/>
                <w:lang w:eastAsia="en-US"/>
              </w:rPr>
              <w:t xml:space="preserve"> </w:t>
            </w:r>
            <w:r w:rsidRPr="00D96F10">
              <w:rPr>
                <w:rFonts w:asciiTheme="minorHAnsi" w:eastAsia="ArialNarrow" w:hAnsiTheme="minorHAnsi" w:cstheme="minorHAnsi"/>
                <w:lang w:eastAsia="en-US"/>
              </w:rPr>
              <w:t>odpowiednio wykwalifikowanym wykonawcom zatrudnionym przez właściwe organy administracji;</w:t>
            </w:r>
          </w:p>
          <w:p w14:paraId="581D8C72" w14:textId="77777777" w:rsidR="004A3DEF" w:rsidRPr="00D96F10" w:rsidRDefault="004A3DEF" w:rsidP="00F838A6">
            <w:pPr>
              <w:numPr>
                <w:ilvl w:val="4"/>
                <w:numId w:val="100"/>
              </w:numPr>
              <w:spacing w:after="120" w:line="276" w:lineRule="auto"/>
              <w:ind w:left="317" w:hanging="283"/>
              <w:outlineLvl w:val="4"/>
              <w:rPr>
                <w:rFonts w:asciiTheme="minorHAnsi" w:eastAsia="ArialNarrow" w:hAnsiTheme="minorHAnsi" w:cstheme="minorHAnsi"/>
                <w:lang w:eastAsia="en-US"/>
              </w:rPr>
            </w:pPr>
            <w:r w:rsidRPr="00D96F10">
              <w:rPr>
                <w:rFonts w:asciiTheme="minorHAnsi" w:eastAsia="ArialNarrow" w:hAnsiTheme="minorHAnsi" w:cstheme="minorHAnsi"/>
                <w:lang w:eastAsia="en-US"/>
              </w:rPr>
              <w:t>tak zostanie uzgodnione na piśmie pomiędzy właściwym organem administracji, Podmiotem Publiczny i Partnerem Prywatnym przed podjęciem jakichkolwiek działań w odniesieniu do zanieczyszczonej i skażonej gleby na Terenie Budowy i pod warunkiem postępowania zgodnie z przepisami Prawa, wówczas tak szybko, jak to możliwe, Partner Prywatny rozpocznie oczyszczanie, uzdatnianie lub w inny sposób dozwolony przepisami Prawa zajmie się zanieczyszczoną i skażoną glebą na Terenie Budowy.</w:t>
            </w:r>
          </w:p>
          <w:p w14:paraId="00A1D047" w14:textId="77777777" w:rsidR="0030779F" w:rsidRPr="00D96F10" w:rsidRDefault="00AF6DF2" w:rsidP="00F838A6">
            <w:pPr>
              <w:pStyle w:val="CMSHeadL5"/>
              <w:numPr>
                <w:ilvl w:val="0"/>
                <w:numId w:val="0"/>
              </w:numPr>
              <w:spacing w:after="120" w:line="276" w:lineRule="auto"/>
              <w:ind w:left="34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D96F10">
              <w:rPr>
                <w:rFonts w:asciiTheme="minorHAnsi" w:hAnsiTheme="minorHAnsi" w:cstheme="minorHAnsi"/>
                <w:szCs w:val="22"/>
                <w:lang w:val="pl-PL"/>
              </w:rPr>
              <w:t xml:space="preserve">Odkrycie w trakcie realizacji Umowy zanieczyszczonej i skażonej gleby na Terenie Budowy </w:t>
            </w:r>
            <w:r w:rsidRPr="00D96F10">
              <w:rPr>
                <w:rFonts w:asciiTheme="minorHAnsi" w:hAnsiTheme="minorHAnsi" w:cstheme="minorHAnsi"/>
                <w:spacing w:val="4"/>
                <w:szCs w:val="22"/>
                <w:lang w:val="pl-PL"/>
              </w:rPr>
              <w:t>lub wystąpienie warunków geologicznych istotnie odbiegających od warunków przedstawionych w opinii geotechnicznej</w:t>
            </w:r>
            <w:r w:rsidRPr="00D96F10">
              <w:rPr>
                <w:rFonts w:asciiTheme="minorHAnsi" w:hAnsiTheme="minorHAnsi" w:cstheme="minorHAnsi"/>
                <w:szCs w:val="22"/>
                <w:lang w:val="pl-PL"/>
              </w:rPr>
              <w:t xml:space="preserve"> stanową Zdarzenie Nieprzewidywalne</w:t>
            </w:r>
            <w:r w:rsidR="006105BD" w:rsidRPr="00D96F10">
              <w:rPr>
                <w:rFonts w:asciiTheme="minorHAnsi" w:hAnsiTheme="minorHAnsi" w:cstheme="minorHAnsi"/>
                <w:szCs w:val="22"/>
                <w:lang w:val="pl-PL"/>
              </w:rPr>
              <w:t xml:space="preserve"> w rozumieniu pkt 29.1. Umowy</w:t>
            </w:r>
            <w:r w:rsidRPr="00D96F10">
              <w:rPr>
                <w:rFonts w:asciiTheme="minorHAnsi" w:hAnsiTheme="minorHAnsi" w:cstheme="minorHAnsi"/>
                <w:szCs w:val="22"/>
                <w:lang w:val="pl-PL"/>
              </w:rPr>
              <w:t>.</w:t>
            </w:r>
          </w:p>
        </w:tc>
      </w:tr>
      <w:tr w:rsidR="00D96F10" w:rsidRPr="00D96F10" w14:paraId="4493EAF7" w14:textId="77777777" w:rsidTr="004F4EE7">
        <w:tc>
          <w:tcPr>
            <w:tcW w:w="875" w:type="dxa"/>
            <w:vAlign w:val="center"/>
          </w:tcPr>
          <w:p w14:paraId="0ED8D697" w14:textId="77777777" w:rsidR="0030779F" w:rsidRPr="00D96F10" w:rsidRDefault="00AF6DF2" w:rsidP="00F838A6">
            <w:pPr>
              <w:spacing w:before="120" w:line="276" w:lineRule="auto"/>
              <w:rPr>
                <w:rFonts w:asciiTheme="minorHAnsi" w:hAnsiTheme="minorHAnsi" w:cstheme="minorHAnsi"/>
              </w:rPr>
            </w:pPr>
            <w:r w:rsidRPr="00D96F10">
              <w:rPr>
                <w:rFonts w:asciiTheme="minorHAnsi" w:hAnsiTheme="minorHAnsi" w:cstheme="minorHAnsi"/>
              </w:rPr>
              <w:lastRenderedPageBreak/>
              <w:t>1.1.2</w:t>
            </w:r>
          </w:p>
        </w:tc>
        <w:tc>
          <w:tcPr>
            <w:tcW w:w="2792" w:type="dxa"/>
            <w:vAlign w:val="center"/>
          </w:tcPr>
          <w:p w14:paraId="2FAD04EC" w14:textId="77777777" w:rsidR="0030779F" w:rsidRPr="00D96F10" w:rsidRDefault="00AF6DF2" w:rsidP="00F838A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96F10">
              <w:rPr>
                <w:rFonts w:asciiTheme="minorHAnsi" w:hAnsiTheme="minorHAnsi" w:cstheme="minorHAnsi"/>
              </w:rPr>
              <w:t>Ryzyka związane z warunkami meteorologicznymi</w:t>
            </w:r>
          </w:p>
        </w:tc>
        <w:tc>
          <w:tcPr>
            <w:tcW w:w="6539" w:type="dxa"/>
          </w:tcPr>
          <w:p w14:paraId="1BA28FB4" w14:textId="77777777" w:rsidR="004A3DEF" w:rsidRPr="00D96F10" w:rsidRDefault="004A3DEF" w:rsidP="00F838A6">
            <w:pPr>
              <w:spacing w:before="120" w:after="120" w:line="276" w:lineRule="auto"/>
              <w:rPr>
                <w:rFonts w:asciiTheme="minorHAnsi" w:hAnsiTheme="minorHAnsi" w:cstheme="minorHAnsi"/>
                <w:spacing w:val="4"/>
              </w:rPr>
            </w:pPr>
            <w:r w:rsidRPr="00D96F10">
              <w:rPr>
                <w:rFonts w:asciiTheme="minorHAnsi" w:hAnsiTheme="minorHAnsi" w:cstheme="minorHAnsi"/>
                <w:spacing w:val="4"/>
              </w:rPr>
              <w:t>W przypadku gdy temperatury powietrza o godzinie siódmej rano (7:00) dla miejsca wykonywania Robót Budowlanych podanej przez Instytut Meteorologii nie spadną poniżej minus 10 stopni Celsjusza i nie będą utrzymywać się na tym poziomie przez okres następujących po sobie co najmniej 4 dni,</w:t>
            </w:r>
            <w:r w:rsidR="00486334" w:rsidRPr="00D96F10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D96F10">
              <w:rPr>
                <w:rFonts w:asciiTheme="minorHAnsi" w:hAnsiTheme="minorHAnsi" w:cstheme="minorHAnsi"/>
                <w:spacing w:val="4"/>
              </w:rPr>
              <w:t>Partner Prywatny nie będzie uprawniony wstrzymać wykonywania Robót Budowlanych z powodu warunków meteorologicznych. Przekroczenie terminu zakończenia Etapu Inwestycyjnego z ww. przyczyn stanowić będzie podstawę do naliczenia Partnerowi Prywatnemu kary umownej z tego tytułu zgodnie z pkt 3</w:t>
            </w:r>
            <w:r w:rsidR="009106F3" w:rsidRPr="00D96F10">
              <w:rPr>
                <w:rFonts w:asciiTheme="minorHAnsi" w:hAnsiTheme="minorHAnsi" w:cstheme="minorHAnsi"/>
                <w:spacing w:val="4"/>
              </w:rPr>
              <w:t>4</w:t>
            </w:r>
            <w:r w:rsidRPr="00D96F10">
              <w:rPr>
                <w:rFonts w:asciiTheme="minorHAnsi" w:hAnsiTheme="minorHAnsi" w:cstheme="minorHAnsi"/>
                <w:spacing w:val="4"/>
              </w:rPr>
              <w:t xml:space="preserve"> Umowy.</w:t>
            </w:r>
          </w:p>
          <w:p w14:paraId="466FA82F" w14:textId="77777777" w:rsidR="0030779F" w:rsidRPr="00D96F10" w:rsidRDefault="004A3DEF" w:rsidP="00F838A6">
            <w:pPr>
              <w:spacing w:before="120" w:after="120" w:line="276" w:lineRule="auto"/>
              <w:rPr>
                <w:rFonts w:asciiTheme="minorHAnsi" w:hAnsiTheme="minorHAnsi" w:cstheme="minorHAnsi"/>
                <w:spacing w:val="4"/>
              </w:rPr>
            </w:pPr>
            <w:r w:rsidRPr="00D96F10">
              <w:rPr>
                <w:rFonts w:asciiTheme="minorHAnsi" w:hAnsiTheme="minorHAnsi" w:cstheme="minorHAnsi"/>
                <w:spacing w:val="4"/>
              </w:rPr>
              <w:t xml:space="preserve">W przypadku gdy temperatury powietrza o godzinie siódmej rano (7:00) dla miejsca wykonywania Robót Budowlanych podanej przez Instytut Meteorologii spadną poniżej minus 10 stopni Celsjusza i będą utrzymywać się na tym poziomie przez okres następujących po sobie co najmniej 4 dni, stanowić to będzie Zdarzenie </w:t>
            </w:r>
            <w:r w:rsidR="00AF6DF2" w:rsidRPr="00D96F10">
              <w:rPr>
                <w:rFonts w:asciiTheme="minorHAnsi" w:hAnsiTheme="minorHAnsi" w:cstheme="minorHAnsi"/>
                <w:spacing w:val="4"/>
              </w:rPr>
              <w:t>Nieprzewidywalne</w:t>
            </w:r>
            <w:r w:rsidR="009106F3" w:rsidRPr="00D96F10">
              <w:rPr>
                <w:rFonts w:asciiTheme="minorHAnsi" w:hAnsiTheme="minorHAnsi" w:cstheme="minorHAnsi"/>
                <w:spacing w:val="4"/>
              </w:rPr>
              <w:t>, w rozumieniu pkt 29.1. Umowy</w:t>
            </w:r>
            <w:r w:rsidR="00AF6DF2" w:rsidRPr="00D96F10">
              <w:rPr>
                <w:rFonts w:asciiTheme="minorHAnsi" w:hAnsiTheme="minorHAnsi" w:cstheme="minorHAnsi"/>
                <w:spacing w:val="4"/>
              </w:rPr>
              <w:t xml:space="preserve"> wyłącznie jeżeli z tej przyczyny zakończenie Etapu Inwestycyjnego się opóźni i spowoduje to powstanie uzasadnionych</w:t>
            </w:r>
            <w:r w:rsidR="00123DE7" w:rsidRPr="00D96F10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="00AF6DF2" w:rsidRPr="00D96F10">
              <w:rPr>
                <w:rFonts w:asciiTheme="minorHAnsi" w:hAnsiTheme="minorHAnsi" w:cstheme="minorHAnsi"/>
                <w:spacing w:val="4"/>
              </w:rPr>
              <w:t>Dodatkowych Kosztów i Wydatków po stronie Partnera Prywatnego.</w:t>
            </w:r>
          </w:p>
        </w:tc>
      </w:tr>
      <w:tr w:rsidR="00D96F10" w:rsidRPr="00D96F10" w14:paraId="1F86175C" w14:textId="77777777" w:rsidTr="004F4EE7">
        <w:tc>
          <w:tcPr>
            <w:tcW w:w="875" w:type="dxa"/>
            <w:vAlign w:val="center"/>
          </w:tcPr>
          <w:p w14:paraId="79A9E20A" w14:textId="77777777" w:rsidR="0030779F" w:rsidRPr="00D96F10" w:rsidRDefault="00AF6DF2" w:rsidP="00F838A6">
            <w:pPr>
              <w:spacing w:before="120" w:line="276" w:lineRule="auto"/>
              <w:rPr>
                <w:rFonts w:asciiTheme="minorHAnsi" w:hAnsiTheme="minorHAnsi" w:cstheme="minorHAnsi"/>
              </w:rPr>
            </w:pPr>
            <w:bookmarkStart w:id="3" w:name="mip30431934"/>
            <w:bookmarkEnd w:id="3"/>
            <w:r w:rsidRPr="00D96F10">
              <w:rPr>
                <w:rFonts w:asciiTheme="minorHAnsi" w:hAnsiTheme="minorHAnsi" w:cstheme="minorHAnsi"/>
              </w:rPr>
              <w:t>1.1.3</w:t>
            </w:r>
          </w:p>
        </w:tc>
        <w:tc>
          <w:tcPr>
            <w:tcW w:w="2792" w:type="dxa"/>
            <w:vAlign w:val="center"/>
          </w:tcPr>
          <w:p w14:paraId="05519172" w14:textId="77777777" w:rsidR="0030779F" w:rsidRPr="00D96F10" w:rsidRDefault="00AF6DF2" w:rsidP="00F838A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96F10">
              <w:rPr>
                <w:rFonts w:asciiTheme="minorHAnsi" w:hAnsiTheme="minorHAnsi" w:cstheme="minorHAnsi"/>
              </w:rPr>
              <w:t>Ryzyka związane</w:t>
            </w:r>
          </w:p>
          <w:p w14:paraId="254586FA" w14:textId="77777777" w:rsidR="0030779F" w:rsidRPr="00D96F10" w:rsidRDefault="00AF6DF2" w:rsidP="00F838A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96F10">
              <w:rPr>
                <w:rFonts w:asciiTheme="minorHAnsi" w:hAnsiTheme="minorHAnsi" w:cstheme="minorHAnsi"/>
              </w:rPr>
              <w:t>wystąpieniem niezgodności z warunkami dotyczącymi standardów wykonania Robót Budowlanych</w:t>
            </w:r>
            <w:bookmarkStart w:id="4" w:name="mip30431935"/>
            <w:bookmarkEnd w:id="4"/>
          </w:p>
        </w:tc>
        <w:tc>
          <w:tcPr>
            <w:tcW w:w="6539" w:type="dxa"/>
            <w:vAlign w:val="center"/>
          </w:tcPr>
          <w:p w14:paraId="7757E003" w14:textId="77777777" w:rsidR="004A3DEF" w:rsidRPr="00D96F10" w:rsidRDefault="004A3DEF" w:rsidP="00F838A6">
            <w:pPr>
              <w:spacing w:before="120" w:after="120" w:line="276" w:lineRule="auto"/>
              <w:rPr>
                <w:rFonts w:asciiTheme="minorHAnsi" w:hAnsiTheme="minorHAnsi" w:cstheme="minorHAnsi"/>
                <w:spacing w:val="4"/>
              </w:rPr>
            </w:pPr>
            <w:r w:rsidRPr="00D96F10">
              <w:rPr>
                <w:rFonts w:asciiTheme="minorHAnsi" w:hAnsiTheme="minorHAnsi" w:cstheme="minorHAnsi"/>
                <w:spacing w:val="4"/>
              </w:rPr>
              <w:t xml:space="preserve">W przypadku wystąpienia niezgodności Robót Budowlanych z warunkami dotyczącymi standardów wykonania Robót Budowlanych określonymi w Dokumentacji Projektowej, Podmiot Publiczny ma prawo żądania usunięcia niezgodności na koszt Partnera Prywatnego w terminie określonym przez Podmiot Publiczny z uwzględnieniem warunków technicznych usunięcia stanu niezgodności. </w:t>
            </w:r>
          </w:p>
          <w:p w14:paraId="0139BFF7" w14:textId="77777777" w:rsidR="0030779F" w:rsidRPr="00D96F10" w:rsidRDefault="006743B9" w:rsidP="00F838A6">
            <w:pPr>
              <w:spacing w:before="120" w:after="120" w:line="276" w:lineRule="auto"/>
              <w:rPr>
                <w:rFonts w:asciiTheme="minorHAnsi" w:hAnsiTheme="minorHAnsi" w:cstheme="minorHAnsi"/>
                <w:spacing w:val="4"/>
              </w:rPr>
            </w:pPr>
            <w:r w:rsidRPr="00D96F10">
              <w:rPr>
                <w:rFonts w:asciiTheme="minorHAnsi" w:hAnsiTheme="minorHAnsi" w:cstheme="minorHAnsi"/>
                <w:spacing w:val="4"/>
              </w:rPr>
              <w:t xml:space="preserve">Zwłoka </w:t>
            </w:r>
            <w:r w:rsidR="004A3DEF" w:rsidRPr="00D96F10">
              <w:rPr>
                <w:rFonts w:asciiTheme="minorHAnsi" w:hAnsiTheme="minorHAnsi" w:cstheme="minorHAnsi"/>
                <w:spacing w:val="4"/>
              </w:rPr>
              <w:t xml:space="preserve">w usunięciu zgłoszonych w trakcie odbiorów wad, w stosunku do terminów na ich usunięcie wskazanych w </w:t>
            </w:r>
            <w:r w:rsidR="00BD5B29" w:rsidRPr="00D96F10">
              <w:rPr>
                <w:rFonts w:asciiTheme="minorHAnsi" w:hAnsiTheme="minorHAnsi" w:cstheme="minorHAnsi"/>
                <w:spacing w:val="4"/>
              </w:rPr>
              <w:t>protokołach odbiorów częściowych</w:t>
            </w:r>
            <w:r w:rsidR="004C4E95" w:rsidRPr="00D96F10">
              <w:rPr>
                <w:rFonts w:asciiTheme="minorHAnsi" w:hAnsiTheme="minorHAnsi" w:cstheme="minorHAnsi"/>
                <w:spacing w:val="4"/>
              </w:rPr>
              <w:t xml:space="preserve"> lub protokole odbioru końcowego</w:t>
            </w:r>
            <w:r w:rsidR="004A3DEF" w:rsidRPr="00D96F10">
              <w:rPr>
                <w:rFonts w:asciiTheme="minorHAnsi" w:hAnsiTheme="minorHAnsi" w:cstheme="minorHAnsi"/>
                <w:spacing w:val="4"/>
              </w:rPr>
              <w:t>, umożliwią Podmiotowi Publicznemu naliczenie Partnerowi Prywatnemu kary umownej z tego tytułu na zasadach określonych w Umowie.</w:t>
            </w:r>
          </w:p>
        </w:tc>
      </w:tr>
      <w:tr w:rsidR="00D96F10" w:rsidRPr="00D96F10" w14:paraId="4DD7DCF8" w14:textId="77777777" w:rsidTr="004F4EE7">
        <w:tc>
          <w:tcPr>
            <w:tcW w:w="875" w:type="dxa"/>
            <w:vAlign w:val="center"/>
          </w:tcPr>
          <w:p w14:paraId="763AF9D7" w14:textId="77777777" w:rsidR="0030779F" w:rsidRPr="00D96F10" w:rsidRDefault="00AF6DF2" w:rsidP="00F838A6">
            <w:pPr>
              <w:spacing w:before="120" w:line="276" w:lineRule="auto"/>
              <w:rPr>
                <w:rFonts w:asciiTheme="minorHAnsi" w:hAnsiTheme="minorHAnsi" w:cstheme="minorHAnsi"/>
              </w:rPr>
            </w:pPr>
            <w:r w:rsidRPr="00D96F10">
              <w:rPr>
                <w:rFonts w:asciiTheme="minorHAnsi" w:hAnsiTheme="minorHAnsi" w:cstheme="minorHAnsi"/>
              </w:rPr>
              <w:t>1.1.4</w:t>
            </w:r>
          </w:p>
        </w:tc>
        <w:tc>
          <w:tcPr>
            <w:tcW w:w="2792" w:type="dxa"/>
            <w:vAlign w:val="center"/>
          </w:tcPr>
          <w:p w14:paraId="4F8F9525" w14:textId="77777777" w:rsidR="0030779F" w:rsidRPr="00D96F10" w:rsidRDefault="00AF6DF2" w:rsidP="00F838A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96F10">
              <w:rPr>
                <w:rFonts w:asciiTheme="minorHAnsi" w:hAnsiTheme="minorHAnsi" w:cstheme="minorHAnsi"/>
              </w:rPr>
              <w:t>Ryzyka związane z prowadzeniem sporów z podmiotami trzecimi spowodowanymi własnymi zaniedbaniami lub deliktami</w:t>
            </w:r>
            <w:bookmarkStart w:id="5" w:name="mip30431940"/>
            <w:bookmarkEnd w:id="5"/>
          </w:p>
        </w:tc>
        <w:tc>
          <w:tcPr>
            <w:tcW w:w="6539" w:type="dxa"/>
            <w:vAlign w:val="center"/>
          </w:tcPr>
          <w:p w14:paraId="52597B31" w14:textId="77777777" w:rsidR="0030779F" w:rsidRPr="00D96F10" w:rsidRDefault="004A3DEF" w:rsidP="00F838A6">
            <w:pPr>
              <w:spacing w:before="120" w:after="120" w:line="276" w:lineRule="auto"/>
              <w:rPr>
                <w:rFonts w:asciiTheme="minorHAnsi" w:hAnsiTheme="minorHAnsi" w:cstheme="minorHAnsi"/>
                <w:spacing w:val="4"/>
              </w:rPr>
            </w:pPr>
            <w:r w:rsidRPr="00D96F10">
              <w:rPr>
                <w:rFonts w:asciiTheme="minorHAnsi" w:hAnsiTheme="minorHAnsi" w:cstheme="minorHAnsi"/>
                <w:spacing w:val="4"/>
              </w:rPr>
              <w:t>Partner Prywatny ponosi wszelkie koszty sporów sądowych/arbitrażowych z podmiotami trzecimi/Podwykonawcami/konsorcjantami spowodowanymi własnymi zaniedbaniami lub deliktami bez prawa regresu względem Podmiotu Publicznego.</w:t>
            </w:r>
          </w:p>
        </w:tc>
      </w:tr>
      <w:tr w:rsidR="00D96F10" w:rsidRPr="00D96F10" w14:paraId="0AAB7783" w14:textId="77777777" w:rsidTr="004F4EE7">
        <w:trPr>
          <w:trHeight w:val="1587"/>
        </w:trPr>
        <w:tc>
          <w:tcPr>
            <w:tcW w:w="875" w:type="dxa"/>
            <w:vAlign w:val="center"/>
          </w:tcPr>
          <w:p w14:paraId="6D44EB96" w14:textId="77777777" w:rsidR="0030779F" w:rsidRPr="00D96F10" w:rsidRDefault="00AF6DF2" w:rsidP="00F838A6">
            <w:pPr>
              <w:spacing w:before="120" w:line="276" w:lineRule="auto"/>
              <w:rPr>
                <w:rFonts w:asciiTheme="minorHAnsi" w:hAnsiTheme="minorHAnsi" w:cstheme="minorHAnsi"/>
              </w:rPr>
            </w:pPr>
            <w:r w:rsidRPr="00D96F10">
              <w:rPr>
                <w:rFonts w:asciiTheme="minorHAnsi" w:hAnsiTheme="minorHAnsi" w:cstheme="minorHAnsi"/>
              </w:rPr>
              <w:t>1.1.5</w:t>
            </w:r>
          </w:p>
        </w:tc>
        <w:tc>
          <w:tcPr>
            <w:tcW w:w="2792" w:type="dxa"/>
            <w:vAlign w:val="center"/>
          </w:tcPr>
          <w:p w14:paraId="080EBD00" w14:textId="77777777" w:rsidR="0030779F" w:rsidRPr="00D96F10" w:rsidRDefault="00AF6DF2" w:rsidP="00F838A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96F10">
              <w:rPr>
                <w:rFonts w:asciiTheme="minorHAnsi" w:hAnsiTheme="minorHAnsi" w:cstheme="minorHAnsi"/>
              </w:rPr>
              <w:t>Ryzyka związane z wypadkami</w:t>
            </w:r>
            <w:bookmarkStart w:id="6" w:name="mip30431941"/>
            <w:bookmarkStart w:id="7" w:name="mip30431942"/>
            <w:bookmarkEnd w:id="6"/>
            <w:bookmarkEnd w:id="7"/>
          </w:p>
        </w:tc>
        <w:tc>
          <w:tcPr>
            <w:tcW w:w="6539" w:type="dxa"/>
          </w:tcPr>
          <w:p w14:paraId="387564DE" w14:textId="77777777" w:rsidR="0030779F" w:rsidRPr="00D96F10" w:rsidRDefault="00AF6DF2" w:rsidP="00F838A6">
            <w:pPr>
              <w:spacing w:before="120" w:after="120" w:line="276" w:lineRule="auto"/>
              <w:rPr>
                <w:rFonts w:asciiTheme="minorHAnsi" w:hAnsiTheme="minorHAnsi" w:cstheme="minorHAnsi"/>
                <w:spacing w:val="4"/>
              </w:rPr>
            </w:pPr>
            <w:r w:rsidRPr="00D96F10">
              <w:rPr>
                <w:rFonts w:asciiTheme="minorHAnsi" w:hAnsiTheme="minorHAnsi" w:cstheme="minorHAnsi"/>
                <w:spacing w:val="4"/>
              </w:rPr>
              <w:t>Partner Prywatny jest odpowiedzialny za szkody na osobie lub mieniu poniesione przez osoby trzecie w związku z wykonywaniem przez niego obowiązków na Etapie Inwestycyjnym, w szczególności powstałe na skutek wypadków na Terenie Budowy na zasadach ogólnych obowiązującego Prawa, chyba że szkody te spowodowane były działaniem lub zaniedbaniami Podmiotu Publicznego.</w:t>
            </w:r>
          </w:p>
        </w:tc>
      </w:tr>
      <w:tr w:rsidR="00D96F10" w:rsidRPr="00D96F10" w14:paraId="53956F79" w14:textId="77777777" w:rsidTr="004F4EE7">
        <w:tc>
          <w:tcPr>
            <w:tcW w:w="875" w:type="dxa"/>
            <w:vAlign w:val="center"/>
          </w:tcPr>
          <w:p w14:paraId="6F148E6A" w14:textId="77777777" w:rsidR="0030779F" w:rsidRPr="00D96F10" w:rsidRDefault="00AF6DF2" w:rsidP="00F838A6">
            <w:pPr>
              <w:spacing w:before="120" w:line="276" w:lineRule="auto"/>
              <w:rPr>
                <w:rFonts w:asciiTheme="minorHAnsi" w:hAnsiTheme="minorHAnsi" w:cstheme="minorHAnsi"/>
              </w:rPr>
            </w:pPr>
            <w:r w:rsidRPr="00D96F10">
              <w:rPr>
                <w:rFonts w:asciiTheme="minorHAnsi" w:hAnsiTheme="minorHAnsi" w:cstheme="minorHAnsi"/>
              </w:rPr>
              <w:lastRenderedPageBreak/>
              <w:t>1.1.6</w:t>
            </w:r>
          </w:p>
        </w:tc>
        <w:tc>
          <w:tcPr>
            <w:tcW w:w="2792" w:type="dxa"/>
            <w:vAlign w:val="center"/>
          </w:tcPr>
          <w:p w14:paraId="02A870B2" w14:textId="77777777" w:rsidR="0030779F" w:rsidRPr="00D96F10" w:rsidRDefault="00AF6DF2" w:rsidP="00F838A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96F10">
              <w:rPr>
                <w:rFonts w:asciiTheme="minorHAnsi" w:hAnsiTheme="minorHAnsi" w:cstheme="minorHAnsi"/>
              </w:rPr>
              <w:t>Ryzyka związane z brakiem zasobów ludzkich i materialnych</w:t>
            </w:r>
            <w:bookmarkStart w:id="8" w:name="mip30431943"/>
            <w:bookmarkStart w:id="9" w:name="mip30431944"/>
            <w:bookmarkEnd w:id="8"/>
            <w:bookmarkEnd w:id="9"/>
          </w:p>
        </w:tc>
        <w:tc>
          <w:tcPr>
            <w:tcW w:w="6539" w:type="dxa"/>
          </w:tcPr>
          <w:p w14:paraId="12F81DA1" w14:textId="77777777" w:rsidR="0030779F" w:rsidRPr="00D96F10" w:rsidRDefault="00AF6DF2" w:rsidP="00F838A6">
            <w:pPr>
              <w:spacing w:before="120" w:after="120" w:line="276" w:lineRule="auto"/>
              <w:rPr>
                <w:rFonts w:asciiTheme="minorHAnsi" w:hAnsiTheme="minorHAnsi" w:cstheme="minorHAnsi"/>
                <w:spacing w:val="4"/>
              </w:rPr>
            </w:pPr>
            <w:r w:rsidRPr="00D96F10">
              <w:rPr>
                <w:rFonts w:asciiTheme="minorHAnsi" w:hAnsiTheme="minorHAnsi" w:cstheme="minorHAnsi"/>
                <w:spacing w:val="4"/>
              </w:rPr>
              <w:t>W przypadku niezapewnienia przez Partnera Prywatnego, z przyczyn leżących po jego stronie, zasobów ludzkich lub materialnych, powodujących nierozpoczęcie lub zaprzestanie realizacji obowiązków określonych w Umowie na Etapie Inwestycyjnym, Partnerowi Prywatnemu nie przysługuje prawo żądania wydłużenia terminów realizacji poszczególnych Części Etapu Inwestycyjnego, ani wzrostu Wynagrodzenia za Etap Inwestycyjny.</w:t>
            </w:r>
          </w:p>
        </w:tc>
      </w:tr>
      <w:tr w:rsidR="00D96F10" w:rsidRPr="00D96F10" w14:paraId="11C08FBF" w14:textId="77777777" w:rsidTr="004F4EE7">
        <w:tc>
          <w:tcPr>
            <w:tcW w:w="875" w:type="dxa"/>
            <w:vAlign w:val="center"/>
          </w:tcPr>
          <w:p w14:paraId="26E25877" w14:textId="77777777" w:rsidR="0030779F" w:rsidRPr="00D96F10" w:rsidRDefault="00AF6DF2" w:rsidP="00F838A6">
            <w:pPr>
              <w:spacing w:before="120" w:line="276" w:lineRule="auto"/>
              <w:rPr>
                <w:rFonts w:asciiTheme="minorHAnsi" w:hAnsiTheme="minorHAnsi" w:cstheme="minorHAnsi"/>
              </w:rPr>
            </w:pPr>
            <w:r w:rsidRPr="00D96F10">
              <w:rPr>
                <w:rFonts w:asciiTheme="minorHAnsi" w:hAnsiTheme="minorHAnsi" w:cstheme="minorHAnsi"/>
              </w:rPr>
              <w:t>1.1.7</w:t>
            </w:r>
          </w:p>
        </w:tc>
        <w:tc>
          <w:tcPr>
            <w:tcW w:w="2792" w:type="dxa"/>
            <w:vAlign w:val="center"/>
          </w:tcPr>
          <w:p w14:paraId="54688919" w14:textId="77777777" w:rsidR="0030779F" w:rsidRPr="00D96F10" w:rsidRDefault="00AF6DF2" w:rsidP="00F838A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96F10">
              <w:rPr>
                <w:rFonts w:asciiTheme="minorHAnsi" w:hAnsiTheme="minorHAnsi" w:cstheme="minorHAnsi"/>
              </w:rPr>
              <w:t>Ryzyka związane z wystąpieniem wad fizycznych lub prawnych, zmniejszających wartość lub użyteczność urządzeń i instalacji zamontowanych w Obiektach przez Partnera Prywatnego w związku z realizacją Robót Budowlanych</w:t>
            </w:r>
            <w:bookmarkStart w:id="10" w:name="mip30431945"/>
            <w:bookmarkStart w:id="11" w:name="mip30431946"/>
            <w:bookmarkStart w:id="12" w:name="mip30431947"/>
            <w:bookmarkEnd w:id="10"/>
            <w:bookmarkEnd w:id="11"/>
            <w:bookmarkEnd w:id="12"/>
          </w:p>
        </w:tc>
        <w:tc>
          <w:tcPr>
            <w:tcW w:w="6539" w:type="dxa"/>
            <w:vAlign w:val="center"/>
          </w:tcPr>
          <w:p w14:paraId="496062F1" w14:textId="770FED81" w:rsidR="0030779F" w:rsidRPr="00D96F10" w:rsidRDefault="00AF6DF2" w:rsidP="00F838A6">
            <w:pPr>
              <w:spacing w:before="120" w:after="120" w:line="276" w:lineRule="auto"/>
              <w:rPr>
                <w:rFonts w:asciiTheme="minorHAnsi" w:hAnsiTheme="minorHAnsi" w:cstheme="minorHAnsi"/>
                <w:spacing w:val="4"/>
              </w:rPr>
            </w:pPr>
            <w:r w:rsidRPr="00D96F10">
              <w:rPr>
                <w:rFonts w:asciiTheme="minorHAnsi" w:hAnsiTheme="minorHAnsi" w:cstheme="minorHAnsi"/>
                <w:spacing w:val="4"/>
              </w:rPr>
              <w:t>W przypadku wystąpienia nieusuwalnych wad fizycznych lub prawnych zmniejszających wartość lub użyteczność materiałów/systemów/urządzeń/instalacji zamontowanych w Obiektach przez Partnera Prywatnego w związku z realizacją Etapu Inwestycyjnego z przyczyn leżących po stronie Partnera Prywatnego</w:t>
            </w:r>
            <w:r w:rsidR="00887B68" w:rsidRPr="00D96F10">
              <w:rPr>
                <w:rFonts w:asciiTheme="minorHAnsi" w:hAnsiTheme="minorHAnsi" w:cstheme="minorHAnsi"/>
                <w:spacing w:val="4"/>
              </w:rPr>
              <w:t>,</w:t>
            </w:r>
            <w:r w:rsidRPr="00D96F10">
              <w:rPr>
                <w:rFonts w:asciiTheme="minorHAnsi" w:hAnsiTheme="minorHAnsi" w:cstheme="minorHAnsi"/>
                <w:spacing w:val="4"/>
              </w:rPr>
              <w:t xml:space="preserve"> Partner Prywatny </w:t>
            </w:r>
            <w:r w:rsidR="00887B68" w:rsidRPr="00D96F10">
              <w:rPr>
                <w:rFonts w:asciiTheme="minorHAnsi" w:hAnsiTheme="minorHAnsi" w:cstheme="minorHAnsi"/>
                <w:bCs/>
                <w:spacing w:val="4"/>
              </w:rPr>
              <w:t>wymieni na nowy</w:t>
            </w:r>
            <w:r w:rsidR="001A4F23" w:rsidRPr="00D96F10">
              <w:rPr>
                <w:rFonts w:asciiTheme="minorHAnsi" w:hAnsiTheme="minorHAnsi" w:cstheme="minorHAnsi"/>
                <w:bCs/>
                <w:spacing w:val="4"/>
              </w:rPr>
              <w:t>,</w:t>
            </w:r>
            <w:r w:rsidR="00887B68" w:rsidRPr="00D96F10">
              <w:rPr>
                <w:rFonts w:asciiTheme="minorHAnsi" w:hAnsiTheme="minorHAnsi" w:cstheme="minorHAnsi"/>
                <w:bCs/>
                <w:spacing w:val="4"/>
              </w:rPr>
              <w:t xml:space="preserve"> wolny od wad</w:t>
            </w:r>
            <w:r w:rsidR="00887B68" w:rsidRPr="00D96F10">
              <w:rPr>
                <w:rFonts w:asciiTheme="minorHAnsi" w:hAnsiTheme="minorHAnsi" w:cstheme="minorHAnsi"/>
                <w:spacing w:val="4"/>
              </w:rPr>
              <w:t xml:space="preserve">. </w:t>
            </w:r>
          </w:p>
        </w:tc>
      </w:tr>
      <w:tr w:rsidR="00D96F10" w:rsidRPr="00D96F10" w14:paraId="34963EA4" w14:textId="77777777" w:rsidTr="004F4EE7">
        <w:tc>
          <w:tcPr>
            <w:tcW w:w="875" w:type="dxa"/>
            <w:vAlign w:val="center"/>
          </w:tcPr>
          <w:p w14:paraId="23573DD9" w14:textId="77777777" w:rsidR="0030779F" w:rsidRPr="00D96F10" w:rsidRDefault="00AF6DF2" w:rsidP="00F838A6">
            <w:pPr>
              <w:spacing w:before="120" w:line="276" w:lineRule="auto"/>
              <w:rPr>
                <w:rFonts w:asciiTheme="minorHAnsi" w:hAnsiTheme="minorHAnsi" w:cstheme="minorHAnsi"/>
              </w:rPr>
            </w:pPr>
            <w:r w:rsidRPr="00D96F10">
              <w:rPr>
                <w:rFonts w:asciiTheme="minorHAnsi" w:hAnsiTheme="minorHAnsi" w:cstheme="minorHAnsi"/>
              </w:rPr>
              <w:t>1.1.8</w:t>
            </w:r>
          </w:p>
        </w:tc>
        <w:tc>
          <w:tcPr>
            <w:tcW w:w="2792" w:type="dxa"/>
            <w:vAlign w:val="center"/>
          </w:tcPr>
          <w:p w14:paraId="64EC6ECB" w14:textId="77777777" w:rsidR="0030779F" w:rsidRPr="00D96F10" w:rsidRDefault="00AF6DF2" w:rsidP="00F838A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96F10">
              <w:rPr>
                <w:rFonts w:asciiTheme="minorHAnsi" w:hAnsiTheme="minorHAnsi" w:cstheme="minorHAnsi"/>
              </w:rPr>
              <w:t>Ryzyka związane z naruszeniem dóbr osobistych lub praw autorskich i pokrewnych osób trzecich w trakcie lub w wyniku realizacji Umowy</w:t>
            </w:r>
            <w:bookmarkStart w:id="13" w:name="mip30431948"/>
            <w:bookmarkEnd w:id="13"/>
          </w:p>
        </w:tc>
        <w:tc>
          <w:tcPr>
            <w:tcW w:w="6539" w:type="dxa"/>
          </w:tcPr>
          <w:p w14:paraId="45B7BB38" w14:textId="600E1A9B" w:rsidR="0030779F" w:rsidRPr="00D96F10" w:rsidRDefault="004A3DEF" w:rsidP="00F838A6">
            <w:pPr>
              <w:spacing w:before="120" w:after="120" w:line="276" w:lineRule="auto"/>
              <w:rPr>
                <w:rFonts w:asciiTheme="minorHAnsi" w:hAnsiTheme="minorHAnsi" w:cstheme="minorHAnsi"/>
                <w:spacing w:val="4"/>
              </w:rPr>
            </w:pPr>
            <w:r w:rsidRPr="00D96F10">
              <w:rPr>
                <w:rFonts w:asciiTheme="minorHAnsi" w:hAnsiTheme="minorHAnsi" w:cstheme="minorHAnsi"/>
                <w:spacing w:val="4"/>
              </w:rPr>
              <w:t xml:space="preserve">W przypadku roszczeń podmiotów trzecich względem Partnera Prywatnego w związku ze stwierdzonym przez niego naruszeniem dóbr osobistych lub praw autorskich i pokrewnych osób trzecich w zakresie wykonywanych przez niego obowiązków wynikających z </w:t>
            </w:r>
            <w:r w:rsidR="004402E3" w:rsidRPr="00D96F10">
              <w:rPr>
                <w:rFonts w:asciiTheme="minorHAnsi" w:hAnsiTheme="minorHAnsi" w:cstheme="minorHAnsi"/>
                <w:spacing w:val="4"/>
              </w:rPr>
              <w:t>Umowy (</w:t>
            </w:r>
            <w:r w:rsidRPr="00D96F10">
              <w:rPr>
                <w:rFonts w:asciiTheme="minorHAnsi" w:hAnsiTheme="minorHAnsi" w:cstheme="minorHAnsi"/>
                <w:spacing w:val="4"/>
              </w:rPr>
              <w:t>sporządzenia Dokumentacji Projektowej), Partner Prywatny zobowiązany będzie na własny koszt i ryzyko prowadzić spory w tym zakresie, bez prawa regresu względem Podmiotu Publicznego. Ponadto, Partner Prywatny zobowiąże się na swój koszt i ryzyko do zmodyfikowania Dokumentacji Projektowej, albo wymienienia jej na nową w taki sposób, aby nie naruszał praw osób trzecich</w:t>
            </w:r>
          </w:p>
        </w:tc>
      </w:tr>
      <w:tr w:rsidR="00D96F10" w:rsidRPr="00D96F10" w14:paraId="28E1370D" w14:textId="77777777" w:rsidTr="004F4EE7">
        <w:tc>
          <w:tcPr>
            <w:tcW w:w="875" w:type="dxa"/>
            <w:vAlign w:val="center"/>
          </w:tcPr>
          <w:p w14:paraId="02EDF79E" w14:textId="77777777" w:rsidR="0030779F" w:rsidRPr="00D96F10" w:rsidRDefault="00AF6DF2" w:rsidP="00F838A6">
            <w:pPr>
              <w:spacing w:before="120" w:line="276" w:lineRule="auto"/>
              <w:rPr>
                <w:rFonts w:asciiTheme="minorHAnsi" w:hAnsiTheme="minorHAnsi" w:cstheme="minorHAnsi"/>
              </w:rPr>
            </w:pPr>
            <w:bookmarkStart w:id="14" w:name="mip30431949"/>
            <w:bookmarkEnd w:id="14"/>
            <w:r w:rsidRPr="00D96F10">
              <w:rPr>
                <w:rFonts w:asciiTheme="minorHAnsi" w:hAnsiTheme="minorHAnsi" w:cstheme="minorHAnsi"/>
              </w:rPr>
              <w:t>1.1.9</w:t>
            </w:r>
          </w:p>
        </w:tc>
        <w:tc>
          <w:tcPr>
            <w:tcW w:w="2792" w:type="dxa"/>
            <w:vAlign w:val="center"/>
          </w:tcPr>
          <w:p w14:paraId="7E411A4C" w14:textId="77777777" w:rsidR="0030779F" w:rsidRPr="00D96F10" w:rsidRDefault="00AF6DF2" w:rsidP="00F838A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96F10">
              <w:rPr>
                <w:rFonts w:asciiTheme="minorHAnsi" w:hAnsiTheme="minorHAnsi" w:cstheme="minorHAnsi"/>
              </w:rPr>
              <w:t xml:space="preserve">Ryzyka związane niemożliwością uzyskania lub przedłużania lub opóźnieniami w wydawaniu pozwoleń, zezwoleń, decyzji, koncesji, licencji </w:t>
            </w:r>
            <w:r w:rsidR="00882101" w:rsidRPr="00D96F10">
              <w:rPr>
                <w:rFonts w:asciiTheme="minorHAnsi" w:hAnsiTheme="minorHAnsi" w:cstheme="minorHAnsi"/>
              </w:rPr>
              <w:t>lub certyfikatów (decyzji a</w:t>
            </w:r>
            <w:r w:rsidRPr="00D96F10">
              <w:rPr>
                <w:rFonts w:asciiTheme="minorHAnsi" w:hAnsiTheme="minorHAnsi" w:cstheme="minorHAnsi"/>
              </w:rPr>
              <w:t>dministracyjnych) z przyczyn zawinionych jedynie przez Partnera Prywatnego</w:t>
            </w:r>
            <w:bookmarkStart w:id="15" w:name="mip30431950"/>
            <w:bookmarkStart w:id="16" w:name="mip30431951"/>
            <w:bookmarkStart w:id="17" w:name="mip30431952"/>
            <w:bookmarkEnd w:id="15"/>
            <w:bookmarkEnd w:id="16"/>
            <w:bookmarkEnd w:id="17"/>
          </w:p>
        </w:tc>
        <w:tc>
          <w:tcPr>
            <w:tcW w:w="6539" w:type="dxa"/>
          </w:tcPr>
          <w:p w14:paraId="229AD4C4" w14:textId="77777777" w:rsidR="0030779F" w:rsidRPr="00D96F10" w:rsidRDefault="00AF6DF2" w:rsidP="00F838A6">
            <w:pPr>
              <w:spacing w:before="120" w:after="120" w:line="276" w:lineRule="auto"/>
              <w:rPr>
                <w:rFonts w:asciiTheme="minorHAnsi" w:hAnsiTheme="minorHAnsi" w:cstheme="minorHAnsi"/>
                <w:spacing w:val="4"/>
              </w:rPr>
            </w:pPr>
            <w:r w:rsidRPr="00D96F10">
              <w:rPr>
                <w:rFonts w:asciiTheme="minorHAnsi" w:hAnsiTheme="minorHAnsi" w:cstheme="minorHAnsi"/>
                <w:spacing w:val="4"/>
              </w:rPr>
              <w:t xml:space="preserve">W przypadku niemożliwości uzyskania, przedłużania lub opóźnień w wydawaniu </w:t>
            </w:r>
            <w:r w:rsidR="00882101" w:rsidRPr="00D96F10">
              <w:rPr>
                <w:rFonts w:asciiTheme="minorHAnsi" w:hAnsiTheme="minorHAnsi" w:cstheme="minorHAnsi"/>
                <w:spacing w:val="4"/>
              </w:rPr>
              <w:t>decyzji a</w:t>
            </w:r>
            <w:r w:rsidRPr="00D96F10">
              <w:rPr>
                <w:rFonts w:asciiTheme="minorHAnsi" w:hAnsiTheme="minorHAnsi" w:cstheme="minorHAnsi"/>
                <w:spacing w:val="4"/>
              </w:rPr>
              <w:t xml:space="preserve">dministracyjnych z przyczyn leżących po stronie Partnera Prywatnego, Partnerowi Prywatnemu nie przysługuje prawo żądania wydłużenia terminów umownych, i nie wyłącza to prawa naliczania kar umownych za naruszenie terminów zakończenia Robót Budowlanych. Za przyczyny leżące po stronie Partnera Prywatnego w szczególności rozumie się złożenie niekompletnych, błędnych wniosków/dokumentów niezbędnych do wydania określonej </w:t>
            </w:r>
            <w:r w:rsidR="00882101" w:rsidRPr="00D96F10">
              <w:rPr>
                <w:rFonts w:asciiTheme="minorHAnsi" w:hAnsiTheme="minorHAnsi" w:cstheme="minorHAnsi"/>
                <w:spacing w:val="4"/>
              </w:rPr>
              <w:t>decyzji a</w:t>
            </w:r>
            <w:r w:rsidRPr="00D96F10">
              <w:rPr>
                <w:rFonts w:asciiTheme="minorHAnsi" w:hAnsiTheme="minorHAnsi" w:cstheme="minorHAnsi"/>
                <w:spacing w:val="4"/>
              </w:rPr>
              <w:t>dministracyjnej, jak również uchybienie terminom administracyjnym.</w:t>
            </w:r>
          </w:p>
        </w:tc>
      </w:tr>
      <w:tr w:rsidR="00D96F10" w:rsidRPr="00D96F10" w14:paraId="473AA3AC" w14:textId="77777777" w:rsidTr="004F4EE7">
        <w:tc>
          <w:tcPr>
            <w:tcW w:w="875" w:type="dxa"/>
            <w:vAlign w:val="center"/>
          </w:tcPr>
          <w:p w14:paraId="6309AB03" w14:textId="77777777" w:rsidR="0030779F" w:rsidRPr="00D96F10" w:rsidRDefault="00AF6DF2" w:rsidP="00F838A6">
            <w:pPr>
              <w:spacing w:before="120" w:line="276" w:lineRule="auto"/>
              <w:rPr>
                <w:rFonts w:asciiTheme="minorHAnsi" w:hAnsiTheme="minorHAnsi" w:cstheme="minorHAnsi"/>
              </w:rPr>
            </w:pPr>
            <w:r w:rsidRPr="00D96F10">
              <w:rPr>
                <w:rFonts w:asciiTheme="minorHAnsi" w:hAnsiTheme="minorHAnsi" w:cstheme="minorHAnsi"/>
              </w:rPr>
              <w:t>1.1.10</w:t>
            </w:r>
          </w:p>
        </w:tc>
        <w:tc>
          <w:tcPr>
            <w:tcW w:w="2792" w:type="dxa"/>
            <w:vAlign w:val="center"/>
          </w:tcPr>
          <w:p w14:paraId="04F28243" w14:textId="77777777" w:rsidR="0030779F" w:rsidRPr="00D96F10" w:rsidRDefault="00AF6DF2" w:rsidP="00F838A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96F10">
              <w:rPr>
                <w:rFonts w:asciiTheme="minorHAnsi" w:hAnsiTheme="minorHAnsi" w:cstheme="minorHAnsi"/>
              </w:rPr>
              <w:t>Ryzyka związane z odkryciami archeologicznymi</w:t>
            </w:r>
          </w:p>
        </w:tc>
        <w:tc>
          <w:tcPr>
            <w:tcW w:w="6539" w:type="dxa"/>
          </w:tcPr>
          <w:p w14:paraId="667BF497" w14:textId="77777777" w:rsidR="004A3DEF" w:rsidRPr="00D96F10" w:rsidRDefault="004A3DEF" w:rsidP="00F838A6">
            <w:pPr>
              <w:spacing w:before="120" w:after="120" w:line="276" w:lineRule="auto"/>
              <w:rPr>
                <w:rFonts w:asciiTheme="minorHAnsi" w:hAnsiTheme="minorHAnsi" w:cstheme="minorHAnsi"/>
                <w:spacing w:val="4"/>
              </w:rPr>
            </w:pPr>
            <w:r w:rsidRPr="00D96F10">
              <w:rPr>
                <w:rFonts w:asciiTheme="minorHAnsi" w:hAnsiTheme="minorHAnsi" w:cstheme="minorHAnsi"/>
                <w:spacing w:val="4"/>
              </w:rPr>
              <w:t xml:space="preserve">W przypadku odkrycia archeologicznego powodującego konieczność wstrzymania Robót Budowlanych celem przebadania i zabezpieczenia odkrycia na Terenie Budowy Partner Prywatny powiadomi niezwłocznie o tym fakcie Podmiot Publiczny oraz zabezpieczy znalezisko archeologiczne w sposób zgodny </w:t>
            </w:r>
            <w:r w:rsidRPr="00D96F10">
              <w:rPr>
                <w:rFonts w:asciiTheme="minorHAnsi" w:hAnsiTheme="minorHAnsi" w:cstheme="minorHAnsi"/>
                <w:spacing w:val="4"/>
              </w:rPr>
              <w:lastRenderedPageBreak/>
              <w:t>z przepisami Prawa. Powyższa okoliczność stanowi Zdarzenie Nieprzewidywalne</w:t>
            </w:r>
            <w:r w:rsidR="003A0D9E" w:rsidRPr="00D96F10">
              <w:rPr>
                <w:rFonts w:asciiTheme="minorHAnsi" w:hAnsiTheme="minorHAnsi" w:cstheme="minorHAnsi"/>
                <w:spacing w:val="4"/>
              </w:rPr>
              <w:t xml:space="preserve"> w rozumieniu pkt 29.1. Umowy</w:t>
            </w:r>
            <w:r w:rsidRPr="00D96F10">
              <w:rPr>
                <w:rFonts w:asciiTheme="minorHAnsi" w:hAnsiTheme="minorHAnsi" w:cstheme="minorHAnsi"/>
                <w:spacing w:val="4"/>
              </w:rPr>
              <w:t xml:space="preserve">. </w:t>
            </w:r>
          </w:p>
          <w:p w14:paraId="3C634429" w14:textId="77777777" w:rsidR="0030779F" w:rsidRPr="00D96F10" w:rsidRDefault="0030779F" w:rsidP="00F838A6">
            <w:pPr>
              <w:spacing w:before="120" w:after="120" w:line="276" w:lineRule="auto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D96F10" w:rsidRPr="00D96F10" w14:paraId="0660C505" w14:textId="77777777" w:rsidTr="004F4EE7">
        <w:tc>
          <w:tcPr>
            <w:tcW w:w="875" w:type="dxa"/>
            <w:vAlign w:val="center"/>
          </w:tcPr>
          <w:p w14:paraId="2FA5E1F7" w14:textId="77777777" w:rsidR="004D7D67" w:rsidRPr="00D96F10" w:rsidRDefault="004D7D67" w:rsidP="00F838A6">
            <w:pPr>
              <w:spacing w:before="120" w:line="276" w:lineRule="auto"/>
              <w:rPr>
                <w:rFonts w:asciiTheme="minorHAnsi" w:hAnsiTheme="minorHAnsi" w:cstheme="minorHAnsi"/>
              </w:rPr>
            </w:pPr>
            <w:r w:rsidRPr="00D96F10">
              <w:rPr>
                <w:rFonts w:asciiTheme="minorHAnsi" w:hAnsiTheme="minorHAnsi" w:cstheme="minorHAnsi"/>
              </w:rPr>
              <w:lastRenderedPageBreak/>
              <w:t>1.1.11.</w:t>
            </w:r>
          </w:p>
        </w:tc>
        <w:tc>
          <w:tcPr>
            <w:tcW w:w="2792" w:type="dxa"/>
            <w:vAlign w:val="center"/>
          </w:tcPr>
          <w:p w14:paraId="09DA8A77" w14:textId="77777777" w:rsidR="004D7D67" w:rsidRPr="00D96F10" w:rsidRDefault="004D7D67" w:rsidP="00F838A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96F10">
              <w:rPr>
                <w:rFonts w:asciiTheme="minorHAnsi" w:hAnsiTheme="minorHAnsi" w:cstheme="minorHAnsi"/>
              </w:rPr>
              <w:t>Ryzyka związane z prowadzeniem uzgodnień z gestorami sieci</w:t>
            </w:r>
          </w:p>
        </w:tc>
        <w:tc>
          <w:tcPr>
            <w:tcW w:w="6539" w:type="dxa"/>
          </w:tcPr>
          <w:p w14:paraId="1FFEA085" w14:textId="6F2B6D82" w:rsidR="004D7D67" w:rsidRPr="00D96F10" w:rsidRDefault="004D7D67" w:rsidP="005539FE">
            <w:pPr>
              <w:spacing w:before="120" w:after="120" w:line="276" w:lineRule="auto"/>
              <w:rPr>
                <w:rFonts w:asciiTheme="minorHAnsi" w:hAnsiTheme="minorHAnsi" w:cstheme="minorHAnsi"/>
                <w:spacing w:val="4"/>
              </w:rPr>
            </w:pPr>
            <w:r w:rsidRPr="00D96F10">
              <w:rPr>
                <w:rFonts w:asciiTheme="minorHAnsi" w:hAnsiTheme="minorHAnsi" w:cstheme="minorHAnsi"/>
                <w:spacing w:val="4"/>
              </w:rPr>
              <w:t xml:space="preserve">Partner Prywatny będzie prowadził na własny koszt uzgodnienia z gestorami sieci na Etapie </w:t>
            </w:r>
            <w:r w:rsidR="00887B68" w:rsidRPr="00D96F10">
              <w:rPr>
                <w:rFonts w:asciiTheme="minorHAnsi" w:hAnsiTheme="minorHAnsi" w:cstheme="minorHAnsi"/>
                <w:spacing w:val="4"/>
              </w:rPr>
              <w:t xml:space="preserve">Projektowania i </w:t>
            </w:r>
            <w:r w:rsidRPr="00D96F10">
              <w:rPr>
                <w:rFonts w:asciiTheme="minorHAnsi" w:hAnsiTheme="minorHAnsi" w:cstheme="minorHAnsi"/>
                <w:spacing w:val="4"/>
              </w:rPr>
              <w:t xml:space="preserve">Robót w niezbędnym zakresie. Podmiot Publiczny zobowiązany jest do ścisłej współpracy z Partnerem Prywatnym w zakresie prowadzonych uzgodnień. Opóźnienia w zakończeniu Robót Budowlanych spowodowane bezpośrednio wydłużeniem procedur uzgodnień z przyczyn leżących po stronie gestorów sieci, </w:t>
            </w:r>
            <w:r w:rsidR="00887B68" w:rsidRPr="00D96F10">
              <w:rPr>
                <w:rFonts w:asciiTheme="minorHAnsi" w:hAnsiTheme="minorHAnsi" w:cstheme="minorHAnsi"/>
                <w:spacing w:val="4"/>
              </w:rPr>
              <w:t xml:space="preserve">mogą stanowić </w:t>
            </w:r>
            <w:r w:rsidRPr="00D96F10">
              <w:rPr>
                <w:rFonts w:asciiTheme="minorHAnsi" w:hAnsiTheme="minorHAnsi" w:cstheme="minorHAnsi"/>
                <w:spacing w:val="4"/>
              </w:rPr>
              <w:t xml:space="preserve">podstawę do wydłużenia terminów zakończenia poszczególnych Części Etapu </w:t>
            </w:r>
            <w:r w:rsidR="003A0D9E" w:rsidRPr="00D96F10">
              <w:rPr>
                <w:rFonts w:asciiTheme="minorHAnsi" w:hAnsiTheme="minorHAnsi" w:cstheme="minorHAnsi"/>
                <w:spacing w:val="4"/>
              </w:rPr>
              <w:t>Inwestycyjnego</w:t>
            </w:r>
            <w:r w:rsidRPr="00D96F10">
              <w:rPr>
                <w:rFonts w:asciiTheme="minorHAnsi" w:hAnsiTheme="minorHAnsi" w:cstheme="minorHAnsi"/>
                <w:spacing w:val="4"/>
              </w:rPr>
              <w:t xml:space="preserve">. </w:t>
            </w:r>
          </w:p>
        </w:tc>
      </w:tr>
      <w:tr w:rsidR="00D96F10" w:rsidRPr="00D96F10" w14:paraId="072F5F4D" w14:textId="77777777" w:rsidTr="00B53426">
        <w:tc>
          <w:tcPr>
            <w:tcW w:w="875" w:type="dxa"/>
            <w:vAlign w:val="center"/>
          </w:tcPr>
          <w:p w14:paraId="4972F4DB" w14:textId="77777777" w:rsidR="007856E8" w:rsidRPr="00D96F10" w:rsidRDefault="00486334" w:rsidP="00F838A6">
            <w:pPr>
              <w:spacing w:before="120" w:line="276" w:lineRule="auto"/>
              <w:rPr>
                <w:rFonts w:asciiTheme="minorHAnsi" w:hAnsiTheme="minorHAnsi" w:cstheme="minorHAnsi"/>
              </w:rPr>
            </w:pPr>
            <w:r w:rsidRPr="00D96F10">
              <w:rPr>
                <w:rFonts w:asciiTheme="minorHAnsi" w:hAnsiTheme="minorHAnsi" w:cstheme="minorHAnsi"/>
              </w:rPr>
              <w:t>1</w:t>
            </w:r>
            <w:r w:rsidR="004D7D67" w:rsidRPr="00D96F10">
              <w:rPr>
                <w:rFonts w:asciiTheme="minorHAnsi" w:hAnsiTheme="minorHAnsi" w:cstheme="minorHAnsi"/>
              </w:rPr>
              <w:t>.1.12</w:t>
            </w:r>
          </w:p>
        </w:tc>
        <w:tc>
          <w:tcPr>
            <w:tcW w:w="2792" w:type="dxa"/>
            <w:vAlign w:val="center"/>
          </w:tcPr>
          <w:p w14:paraId="5A285D8F" w14:textId="77777777" w:rsidR="007856E8" w:rsidRPr="00D96F10" w:rsidRDefault="004A4FC8" w:rsidP="00F838A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96F10">
              <w:rPr>
                <w:rFonts w:asciiTheme="minorHAnsi" w:hAnsiTheme="minorHAnsi" w:cstheme="minorHAnsi"/>
              </w:rPr>
              <w:t>Ryzyka związane z brakiem lub utratą Finansowania</w:t>
            </w:r>
          </w:p>
        </w:tc>
        <w:tc>
          <w:tcPr>
            <w:tcW w:w="6539" w:type="dxa"/>
          </w:tcPr>
          <w:p w14:paraId="599A1548" w14:textId="0FBA2B54" w:rsidR="007856E8" w:rsidRPr="00D96F10" w:rsidRDefault="004A4FC8" w:rsidP="00F838A6">
            <w:pPr>
              <w:spacing w:before="120" w:after="120" w:line="276" w:lineRule="auto"/>
              <w:rPr>
                <w:rFonts w:asciiTheme="minorHAnsi" w:hAnsiTheme="minorHAnsi" w:cstheme="minorHAnsi"/>
                <w:spacing w:val="4"/>
              </w:rPr>
            </w:pPr>
            <w:r w:rsidRPr="00D96F10">
              <w:rPr>
                <w:rFonts w:asciiTheme="minorHAnsi" w:hAnsiTheme="minorHAnsi" w:cstheme="minorHAnsi"/>
                <w:spacing w:val="4"/>
              </w:rPr>
              <w:t xml:space="preserve">W przypadku </w:t>
            </w:r>
            <w:r w:rsidR="00994B0E" w:rsidRPr="00D96F10">
              <w:rPr>
                <w:rFonts w:asciiTheme="minorHAnsi" w:hAnsiTheme="minorHAnsi" w:cstheme="minorHAnsi"/>
                <w:spacing w:val="4"/>
              </w:rPr>
              <w:t>braku</w:t>
            </w:r>
            <w:r w:rsidRPr="00D96F10">
              <w:rPr>
                <w:rFonts w:asciiTheme="minorHAnsi" w:hAnsiTheme="minorHAnsi" w:cstheme="minorHAnsi"/>
                <w:spacing w:val="4"/>
              </w:rPr>
              <w:t xml:space="preserve"> Zamknięcia Finansowania, naruszenia</w:t>
            </w:r>
            <w:r w:rsidR="00BB6791" w:rsidRPr="00D96F10">
              <w:rPr>
                <w:rFonts w:asciiTheme="minorHAnsi" w:hAnsiTheme="minorHAnsi" w:cstheme="minorHAnsi"/>
                <w:spacing w:val="4"/>
              </w:rPr>
              <w:t xml:space="preserve"> określonych w Umowie warunków Sf</w:t>
            </w:r>
            <w:r w:rsidRPr="00D96F10">
              <w:rPr>
                <w:rFonts w:asciiTheme="minorHAnsi" w:hAnsiTheme="minorHAnsi" w:cstheme="minorHAnsi"/>
                <w:spacing w:val="4"/>
              </w:rPr>
              <w:t>inansowania</w:t>
            </w:r>
            <w:r w:rsidR="00BB6791" w:rsidRPr="00D96F10">
              <w:rPr>
                <w:rFonts w:asciiTheme="minorHAnsi" w:hAnsiTheme="minorHAnsi" w:cstheme="minorHAnsi"/>
                <w:spacing w:val="4"/>
              </w:rPr>
              <w:t xml:space="preserve"> Przedsięwzięcia (pkt 11 </w:t>
            </w:r>
            <w:r w:rsidR="004402E3" w:rsidRPr="00D96F10">
              <w:rPr>
                <w:rFonts w:asciiTheme="minorHAnsi" w:hAnsiTheme="minorHAnsi" w:cstheme="minorHAnsi"/>
                <w:spacing w:val="4"/>
              </w:rPr>
              <w:t>Umowy) lub</w:t>
            </w:r>
            <w:r w:rsidRPr="00D96F10">
              <w:rPr>
                <w:rFonts w:asciiTheme="minorHAnsi" w:hAnsiTheme="minorHAnsi" w:cstheme="minorHAnsi"/>
                <w:spacing w:val="4"/>
              </w:rPr>
              <w:t xml:space="preserve"> utraty </w:t>
            </w:r>
            <w:r w:rsidR="00BB6791" w:rsidRPr="00D96F10">
              <w:rPr>
                <w:rFonts w:asciiTheme="minorHAnsi" w:hAnsiTheme="minorHAnsi" w:cstheme="minorHAnsi"/>
                <w:spacing w:val="4"/>
              </w:rPr>
              <w:t>Sfinansowania Przedsięwzięcia</w:t>
            </w:r>
            <w:r w:rsidRPr="00D96F10">
              <w:rPr>
                <w:rFonts w:asciiTheme="minorHAnsi" w:hAnsiTheme="minorHAnsi" w:cstheme="minorHAnsi"/>
                <w:spacing w:val="4"/>
              </w:rPr>
              <w:t xml:space="preserve"> przez Partnera Prywatnego powodującej zaprzestanie realizacji obowiązków określonych w Umowie, </w:t>
            </w:r>
            <w:r w:rsidR="003A0D9E" w:rsidRPr="00D96F10">
              <w:rPr>
                <w:rFonts w:asciiTheme="minorHAnsi" w:hAnsiTheme="minorHAnsi" w:cstheme="minorHAnsi"/>
                <w:spacing w:val="4"/>
              </w:rPr>
              <w:t xml:space="preserve">(z zastrzeżeniem przypadków, w których Partner Prywatny finansuje Przedsięwzięcie ze środków własnych) </w:t>
            </w:r>
            <w:r w:rsidRPr="00D96F10">
              <w:rPr>
                <w:rFonts w:asciiTheme="minorHAnsi" w:hAnsiTheme="minorHAnsi" w:cstheme="minorHAnsi"/>
                <w:spacing w:val="4"/>
              </w:rPr>
              <w:t xml:space="preserve">Podmiotowi Publicznemu przysługuje prawo </w:t>
            </w:r>
            <w:r w:rsidR="00BB6791" w:rsidRPr="00D96F10">
              <w:rPr>
                <w:rFonts w:asciiTheme="minorHAnsi" w:hAnsiTheme="minorHAnsi" w:cstheme="minorHAnsi"/>
                <w:spacing w:val="4"/>
              </w:rPr>
              <w:t xml:space="preserve">odstąpienia od Umowy z przyczyn leżących po stronie Partnera Prywatnego.  </w:t>
            </w:r>
          </w:p>
        </w:tc>
      </w:tr>
      <w:tr w:rsidR="00D96F10" w:rsidRPr="00D96F10" w14:paraId="2351D53E" w14:textId="77777777" w:rsidTr="00B53426">
        <w:tc>
          <w:tcPr>
            <w:tcW w:w="875" w:type="dxa"/>
            <w:vAlign w:val="center"/>
          </w:tcPr>
          <w:p w14:paraId="3F67AEEA" w14:textId="77777777" w:rsidR="007856E8" w:rsidRPr="00D96F10" w:rsidRDefault="004A4FC8" w:rsidP="00F838A6">
            <w:pPr>
              <w:spacing w:before="120" w:line="276" w:lineRule="auto"/>
              <w:rPr>
                <w:rFonts w:asciiTheme="minorHAnsi" w:hAnsiTheme="minorHAnsi" w:cstheme="minorHAnsi"/>
              </w:rPr>
            </w:pPr>
            <w:r w:rsidRPr="00D96F10">
              <w:rPr>
                <w:rFonts w:asciiTheme="minorHAnsi" w:hAnsiTheme="minorHAnsi" w:cstheme="minorHAnsi"/>
              </w:rPr>
              <w:t>1.1.1</w:t>
            </w:r>
            <w:r w:rsidR="004D7D67" w:rsidRPr="00D96F1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792" w:type="dxa"/>
            <w:vAlign w:val="center"/>
          </w:tcPr>
          <w:p w14:paraId="07AE2BB7" w14:textId="77777777" w:rsidR="007856E8" w:rsidRPr="00D96F10" w:rsidRDefault="00994B0E" w:rsidP="00F838A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96F10">
              <w:rPr>
                <w:rFonts w:asciiTheme="minorHAnsi" w:hAnsiTheme="minorHAnsi" w:cstheme="minorHAnsi"/>
              </w:rPr>
              <w:t>Ryzyka należytego i terminowego wykonania Dokumentacji Projektowej</w:t>
            </w:r>
          </w:p>
        </w:tc>
        <w:tc>
          <w:tcPr>
            <w:tcW w:w="6539" w:type="dxa"/>
          </w:tcPr>
          <w:p w14:paraId="3FCFC3C1" w14:textId="77777777" w:rsidR="00994B0E" w:rsidRPr="00D96F10" w:rsidRDefault="00994B0E" w:rsidP="00F838A6">
            <w:pPr>
              <w:spacing w:before="120" w:after="120" w:line="276" w:lineRule="auto"/>
              <w:rPr>
                <w:rFonts w:asciiTheme="minorHAnsi" w:hAnsiTheme="minorHAnsi" w:cstheme="minorHAnsi"/>
                <w:spacing w:val="4"/>
              </w:rPr>
            </w:pPr>
            <w:r w:rsidRPr="00D96F10">
              <w:rPr>
                <w:rFonts w:asciiTheme="minorHAnsi" w:hAnsiTheme="minorHAnsi" w:cstheme="minorHAnsi"/>
                <w:spacing w:val="4"/>
              </w:rPr>
              <w:t xml:space="preserve">W przypadku wystąpienia </w:t>
            </w:r>
            <w:r w:rsidR="00BB6791" w:rsidRPr="00D96F10">
              <w:rPr>
                <w:rFonts w:asciiTheme="minorHAnsi" w:hAnsiTheme="minorHAnsi" w:cstheme="minorHAnsi"/>
                <w:spacing w:val="4"/>
              </w:rPr>
              <w:t>wad</w:t>
            </w:r>
            <w:r w:rsidRPr="00D96F10">
              <w:rPr>
                <w:rFonts w:asciiTheme="minorHAnsi" w:hAnsiTheme="minorHAnsi" w:cstheme="minorHAnsi"/>
                <w:spacing w:val="4"/>
              </w:rPr>
              <w:t xml:space="preserve"> Dokumentacji Projektowej, Partner Prywatny zobowiązany jest do ich usunięcia </w:t>
            </w:r>
            <w:r w:rsidR="00BB6791" w:rsidRPr="00D96F10">
              <w:rPr>
                <w:rFonts w:asciiTheme="minorHAnsi" w:hAnsiTheme="minorHAnsi" w:cstheme="minorHAnsi"/>
                <w:spacing w:val="4"/>
              </w:rPr>
              <w:t xml:space="preserve">na zasadach określonych w pkt </w:t>
            </w:r>
            <w:r w:rsidR="003A0D9E" w:rsidRPr="00D96F10">
              <w:rPr>
                <w:rFonts w:asciiTheme="minorHAnsi" w:hAnsiTheme="minorHAnsi" w:cstheme="minorHAnsi"/>
                <w:spacing w:val="4"/>
              </w:rPr>
              <w:t xml:space="preserve">14 i </w:t>
            </w:r>
            <w:r w:rsidR="00BB6791" w:rsidRPr="00D96F10">
              <w:rPr>
                <w:rFonts w:asciiTheme="minorHAnsi" w:hAnsiTheme="minorHAnsi" w:cstheme="minorHAnsi"/>
                <w:spacing w:val="4"/>
              </w:rPr>
              <w:t>23</w:t>
            </w:r>
            <w:r w:rsidRPr="00D96F10">
              <w:rPr>
                <w:rFonts w:asciiTheme="minorHAnsi" w:hAnsiTheme="minorHAnsi" w:cstheme="minorHAnsi"/>
                <w:spacing w:val="4"/>
              </w:rPr>
              <w:t xml:space="preserve"> Umowy.</w:t>
            </w:r>
          </w:p>
          <w:p w14:paraId="20958667" w14:textId="741CF474" w:rsidR="007856E8" w:rsidRPr="00D96F10" w:rsidRDefault="00994B0E" w:rsidP="00F838A6">
            <w:pPr>
              <w:spacing w:before="120" w:after="120" w:line="276" w:lineRule="auto"/>
              <w:rPr>
                <w:rFonts w:asciiTheme="minorHAnsi" w:hAnsiTheme="minorHAnsi" w:cstheme="minorHAnsi"/>
                <w:spacing w:val="4"/>
              </w:rPr>
            </w:pPr>
            <w:r w:rsidRPr="00D96F10">
              <w:rPr>
                <w:rFonts w:asciiTheme="minorHAnsi" w:hAnsiTheme="minorHAnsi" w:cstheme="minorHAnsi"/>
                <w:spacing w:val="4"/>
              </w:rPr>
              <w:t xml:space="preserve">W przypadku wystąpienia </w:t>
            </w:r>
            <w:r w:rsidR="00BB6791" w:rsidRPr="00D96F10">
              <w:rPr>
                <w:rFonts w:asciiTheme="minorHAnsi" w:hAnsiTheme="minorHAnsi" w:cstheme="minorHAnsi"/>
                <w:spacing w:val="4"/>
              </w:rPr>
              <w:t>wad nienadających się do usunięcia</w:t>
            </w:r>
            <w:r w:rsidRPr="00D96F10">
              <w:rPr>
                <w:rFonts w:asciiTheme="minorHAnsi" w:hAnsiTheme="minorHAnsi" w:cstheme="minorHAnsi"/>
                <w:spacing w:val="4"/>
              </w:rPr>
              <w:t xml:space="preserve"> w Dokumentacji Projektowej opracowanej przez Partnera Prywatnego z przyczyn zawinionych przez Partnera Prywatnego, </w:t>
            </w:r>
            <w:r w:rsidR="00BB6791" w:rsidRPr="00D96F10">
              <w:rPr>
                <w:rFonts w:asciiTheme="minorHAnsi" w:hAnsiTheme="minorHAnsi" w:cstheme="minorHAnsi"/>
                <w:spacing w:val="4"/>
              </w:rPr>
              <w:t xml:space="preserve">Podmiot Publiczny, na zasadach opisanych w pkt 23.9. Umowy może odpowiednio obniżyć </w:t>
            </w:r>
            <w:r w:rsidR="004402E3" w:rsidRPr="00D96F10">
              <w:rPr>
                <w:rFonts w:asciiTheme="minorHAnsi" w:hAnsiTheme="minorHAnsi" w:cstheme="minorHAnsi"/>
                <w:spacing w:val="4"/>
              </w:rPr>
              <w:t>wynagrodzenie</w:t>
            </w:r>
            <w:r w:rsidR="00BB6791" w:rsidRPr="00D96F10">
              <w:rPr>
                <w:rFonts w:asciiTheme="minorHAnsi" w:hAnsiTheme="minorHAnsi" w:cstheme="minorHAnsi"/>
                <w:spacing w:val="4"/>
              </w:rPr>
              <w:t xml:space="preserve"> bądź odstąpić od Umowy albo żądać wykonania przedmiotu odbioru po raz drugi. </w:t>
            </w:r>
          </w:p>
        </w:tc>
      </w:tr>
      <w:tr w:rsidR="00D96F10" w:rsidRPr="00D96F10" w14:paraId="246A5AFF" w14:textId="77777777" w:rsidTr="00B53426">
        <w:tc>
          <w:tcPr>
            <w:tcW w:w="875" w:type="dxa"/>
            <w:vAlign w:val="center"/>
          </w:tcPr>
          <w:p w14:paraId="360180B0" w14:textId="26D990E6" w:rsidR="005C01FF" w:rsidRPr="00D96F10" w:rsidRDefault="005C01FF" w:rsidP="00F838A6">
            <w:pPr>
              <w:spacing w:before="120" w:line="276" w:lineRule="auto"/>
              <w:rPr>
                <w:rFonts w:asciiTheme="minorHAnsi" w:hAnsiTheme="minorHAnsi" w:cstheme="minorHAnsi"/>
              </w:rPr>
            </w:pPr>
            <w:r w:rsidRPr="00D96F10">
              <w:rPr>
                <w:rFonts w:asciiTheme="minorHAnsi" w:hAnsiTheme="minorHAnsi" w:cstheme="minorHAnsi"/>
              </w:rPr>
              <w:t>1.1.14</w:t>
            </w:r>
          </w:p>
        </w:tc>
        <w:tc>
          <w:tcPr>
            <w:tcW w:w="2792" w:type="dxa"/>
            <w:vAlign w:val="center"/>
          </w:tcPr>
          <w:p w14:paraId="72B2BF65" w14:textId="03989988" w:rsidR="005C01FF" w:rsidRPr="00D96F10" w:rsidRDefault="005C01FF" w:rsidP="00F838A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96F10">
              <w:rPr>
                <w:rFonts w:asciiTheme="minorHAnsi" w:hAnsiTheme="minorHAnsi" w:cstheme="minorHAnsi"/>
              </w:rPr>
              <w:t xml:space="preserve">Ryzyka związane ze zmianą cen i kosztów wykonania Robót Budowlanych </w:t>
            </w:r>
          </w:p>
        </w:tc>
        <w:tc>
          <w:tcPr>
            <w:tcW w:w="6539" w:type="dxa"/>
          </w:tcPr>
          <w:p w14:paraId="4E656F44" w14:textId="10469EF2" w:rsidR="005C01FF" w:rsidRPr="00D96F10" w:rsidRDefault="005C01FF" w:rsidP="00F838A6">
            <w:pPr>
              <w:spacing w:before="120" w:after="120" w:line="276" w:lineRule="auto"/>
              <w:rPr>
                <w:rFonts w:asciiTheme="minorHAnsi" w:hAnsiTheme="minorHAnsi" w:cstheme="minorHAnsi"/>
                <w:spacing w:val="4"/>
              </w:rPr>
            </w:pPr>
            <w:r w:rsidRPr="00D96F10">
              <w:rPr>
                <w:rFonts w:asciiTheme="minorHAnsi" w:hAnsiTheme="minorHAnsi" w:cstheme="minorHAnsi"/>
                <w:spacing w:val="4"/>
              </w:rPr>
              <w:t xml:space="preserve">W przypadku wzrostu kosztów materiałów/usług/robót związanych z realizacją Etapu Inwestycyjnego, Partnerowi Prywatnemu nie przysługuje roszczenie odszkodowawcze ani prawo żądania zwiększenia Kosztów Inwestycyjnych, z wyłączeniem przypadków, o których mowa w pkt 28.1.10. Umowy. </w:t>
            </w:r>
          </w:p>
        </w:tc>
      </w:tr>
      <w:tr w:rsidR="00D96F10" w:rsidRPr="00D96F10" w14:paraId="68BCC80E" w14:textId="77777777" w:rsidTr="00D96F10">
        <w:tc>
          <w:tcPr>
            <w:tcW w:w="875" w:type="dxa"/>
            <w:vAlign w:val="center"/>
          </w:tcPr>
          <w:p w14:paraId="156E6B5E" w14:textId="15DAF629" w:rsidR="005C01FF" w:rsidRPr="00D96F10" w:rsidRDefault="005C01FF" w:rsidP="00F838A6">
            <w:pPr>
              <w:spacing w:before="120" w:line="276" w:lineRule="auto"/>
              <w:rPr>
                <w:rFonts w:asciiTheme="minorHAnsi" w:hAnsiTheme="minorHAnsi" w:cstheme="minorHAnsi"/>
              </w:rPr>
            </w:pPr>
            <w:r w:rsidRPr="00D96F10">
              <w:rPr>
                <w:rFonts w:asciiTheme="minorHAnsi" w:hAnsiTheme="minorHAnsi" w:cstheme="minorHAnsi"/>
              </w:rPr>
              <w:t>1.1.15</w:t>
            </w:r>
          </w:p>
        </w:tc>
        <w:tc>
          <w:tcPr>
            <w:tcW w:w="2792" w:type="dxa"/>
            <w:vAlign w:val="center"/>
          </w:tcPr>
          <w:p w14:paraId="48199F55" w14:textId="0C224BA7" w:rsidR="005C01FF" w:rsidRPr="00D96F10" w:rsidRDefault="005C01FF" w:rsidP="00F838A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96F10">
              <w:rPr>
                <w:rFonts w:asciiTheme="minorHAnsi" w:hAnsiTheme="minorHAnsi" w:cstheme="minorHAnsi"/>
              </w:rPr>
              <w:t>Akty Wandalizmu</w:t>
            </w:r>
          </w:p>
        </w:tc>
        <w:tc>
          <w:tcPr>
            <w:tcW w:w="6539" w:type="dxa"/>
            <w:vAlign w:val="center"/>
          </w:tcPr>
          <w:p w14:paraId="1A0263D6" w14:textId="1DFA4863" w:rsidR="005C01FF" w:rsidRPr="00D96F10" w:rsidRDefault="005C01FF" w:rsidP="00F838A6">
            <w:pPr>
              <w:spacing w:before="120" w:after="120" w:line="276" w:lineRule="auto"/>
              <w:rPr>
                <w:rFonts w:asciiTheme="minorHAnsi" w:hAnsiTheme="minorHAnsi" w:cstheme="minorHAnsi"/>
                <w:spacing w:val="4"/>
              </w:rPr>
            </w:pPr>
            <w:r w:rsidRPr="00D96F10">
              <w:rPr>
                <w:rFonts w:asciiTheme="minorHAnsi" w:hAnsiTheme="minorHAnsi" w:cstheme="minorHAnsi"/>
              </w:rPr>
              <w:t xml:space="preserve">Szkody i koszty wynikające z Aktów Wandalizmu na Etapie Utrzymania zostaną według wyboru Podmiotu Publicznego zlikwidowane i poniesione przez Podmiot Publiczny lub zlikwidowane przez Partnera Prywatnego i poniesione przez Podmiot Publiczny. </w:t>
            </w:r>
          </w:p>
        </w:tc>
      </w:tr>
    </w:tbl>
    <w:p w14:paraId="2D53AD95" w14:textId="77777777" w:rsidR="0030779F" w:rsidRPr="00D96F10" w:rsidRDefault="0030779F" w:rsidP="00F838A6">
      <w:pPr>
        <w:spacing w:line="276" w:lineRule="auto"/>
        <w:rPr>
          <w:rFonts w:asciiTheme="minorHAnsi" w:hAnsiTheme="minorHAnsi" w:cstheme="minorHAnsi"/>
          <w:spacing w:val="4"/>
        </w:rPr>
      </w:pPr>
    </w:p>
    <w:p w14:paraId="7E370790" w14:textId="5F61C47F" w:rsidR="00AF6DF2" w:rsidRPr="00D96F10" w:rsidRDefault="00B70BEC" w:rsidP="00F838A6">
      <w:pPr>
        <w:spacing w:after="120" w:line="276" w:lineRule="auto"/>
        <w:outlineLvl w:val="1"/>
        <w:rPr>
          <w:rFonts w:asciiTheme="minorHAnsi" w:hAnsiTheme="minorHAnsi" w:cstheme="minorHAnsi"/>
        </w:rPr>
      </w:pPr>
      <w:bookmarkStart w:id="18" w:name="_Toc501528670"/>
      <w:r w:rsidRPr="00D96F10">
        <w:rPr>
          <w:rFonts w:asciiTheme="minorHAnsi" w:hAnsiTheme="minorHAnsi" w:cstheme="minorHAnsi"/>
          <w:b/>
          <w:bCs/>
          <w:lang w:eastAsia="ar-SA"/>
        </w:rPr>
        <w:t>1.2</w:t>
      </w:r>
      <w:r w:rsidR="00AF6DF2" w:rsidRPr="00D96F10">
        <w:rPr>
          <w:rFonts w:asciiTheme="minorHAnsi" w:hAnsiTheme="minorHAnsi" w:cstheme="minorHAnsi"/>
          <w:b/>
          <w:bCs/>
          <w:lang w:eastAsia="ar-SA"/>
        </w:rPr>
        <w:t xml:space="preserve">. Ryzyka </w:t>
      </w:r>
      <w:r w:rsidR="001343D7" w:rsidRPr="00D96F10">
        <w:rPr>
          <w:rFonts w:asciiTheme="minorHAnsi" w:hAnsiTheme="minorHAnsi" w:cstheme="minorHAnsi"/>
          <w:b/>
          <w:bCs/>
          <w:lang w:eastAsia="ar-SA"/>
        </w:rPr>
        <w:t xml:space="preserve">Projektowania i </w:t>
      </w:r>
      <w:r w:rsidRPr="00D96F10">
        <w:rPr>
          <w:rFonts w:asciiTheme="minorHAnsi" w:hAnsiTheme="minorHAnsi" w:cstheme="minorHAnsi"/>
          <w:b/>
          <w:bCs/>
          <w:lang w:eastAsia="ar-SA"/>
        </w:rPr>
        <w:t>B</w:t>
      </w:r>
      <w:r w:rsidR="00AF6DF2" w:rsidRPr="00D96F10">
        <w:rPr>
          <w:rFonts w:asciiTheme="minorHAnsi" w:hAnsiTheme="minorHAnsi" w:cstheme="minorHAnsi"/>
          <w:b/>
          <w:bCs/>
          <w:lang w:eastAsia="ar-SA"/>
        </w:rPr>
        <w:t>udowy ponoszone przez Podmiot Publiczny</w:t>
      </w:r>
      <w:bookmarkEnd w:id="18"/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3027"/>
        <w:gridCol w:w="6327"/>
      </w:tblGrid>
      <w:tr w:rsidR="00D96F10" w:rsidRPr="00D96F10" w14:paraId="0C696CDF" w14:textId="77777777" w:rsidTr="00B30486">
        <w:tc>
          <w:tcPr>
            <w:tcW w:w="10206" w:type="dxa"/>
            <w:gridSpan w:val="3"/>
            <w:vAlign w:val="center"/>
          </w:tcPr>
          <w:p w14:paraId="202A28BC" w14:textId="004D565B" w:rsidR="0030779F" w:rsidRPr="00D96F10" w:rsidRDefault="00AF6DF2" w:rsidP="00F838A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pacing w:val="4"/>
              </w:rPr>
            </w:pPr>
            <w:r w:rsidRPr="00D96F10">
              <w:rPr>
                <w:rFonts w:asciiTheme="minorHAnsi" w:hAnsiTheme="minorHAnsi" w:cstheme="minorHAnsi"/>
                <w:b/>
              </w:rPr>
              <w:lastRenderedPageBreak/>
              <w:t xml:space="preserve">Ryzyka </w:t>
            </w:r>
            <w:r w:rsidR="001343D7" w:rsidRPr="00D96F10">
              <w:rPr>
                <w:rFonts w:asciiTheme="minorHAnsi" w:hAnsiTheme="minorHAnsi" w:cstheme="minorHAnsi"/>
                <w:b/>
              </w:rPr>
              <w:t xml:space="preserve">Projektowania i </w:t>
            </w:r>
            <w:r w:rsidR="00B70BEC" w:rsidRPr="00D96F10">
              <w:rPr>
                <w:rFonts w:asciiTheme="minorHAnsi" w:hAnsiTheme="minorHAnsi" w:cstheme="minorHAnsi"/>
                <w:b/>
              </w:rPr>
              <w:t>B</w:t>
            </w:r>
            <w:r w:rsidRPr="00D96F10">
              <w:rPr>
                <w:rFonts w:asciiTheme="minorHAnsi" w:hAnsiTheme="minorHAnsi" w:cstheme="minorHAnsi"/>
                <w:b/>
              </w:rPr>
              <w:t>udowy ponoszone przez Podmiot Publiczny</w:t>
            </w:r>
          </w:p>
        </w:tc>
      </w:tr>
      <w:tr w:rsidR="00D96F10" w:rsidRPr="00D96F10" w14:paraId="599BE670" w14:textId="77777777" w:rsidTr="00B30486">
        <w:tc>
          <w:tcPr>
            <w:tcW w:w="852" w:type="dxa"/>
            <w:vAlign w:val="center"/>
          </w:tcPr>
          <w:p w14:paraId="43825FCF" w14:textId="77777777" w:rsidR="0030779F" w:rsidRPr="00D96F10" w:rsidRDefault="00AF6DF2" w:rsidP="00F838A6">
            <w:pPr>
              <w:spacing w:before="120" w:after="120" w:line="276" w:lineRule="auto"/>
              <w:rPr>
                <w:rFonts w:asciiTheme="minorHAnsi" w:hAnsiTheme="minorHAnsi" w:cstheme="minorHAnsi"/>
                <w:b/>
                <w:spacing w:val="4"/>
              </w:rPr>
            </w:pPr>
            <w:r w:rsidRPr="00D96F10">
              <w:rPr>
                <w:rFonts w:asciiTheme="minorHAnsi" w:hAnsiTheme="minorHAnsi" w:cstheme="minorHAnsi"/>
                <w:b/>
                <w:spacing w:val="4"/>
              </w:rPr>
              <w:t>Pkt</w:t>
            </w:r>
          </w:p>
        </w:tc>
        <w:tc>
          <w:tcPr>
            <w:tcW w:w="3027" w:type="dxa"/>
            <w:vAlign w:val="center"/>
          </w:tcPr>
          <w:p w14:paraId="7BA255E6" w14:textId="77777777" w:rsidR="0030779F" w:rsidRPr="00D96F10" w:rsidRDefault="00AF6DF2" w:rsidP="00F838A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96F10">
              <w:rPr>
                <w:rFonts w:asciiTheme="minorHAnsi" w:hAnsiTheme="minorHAnsi" w:cstheme="minorHAnsi"/>
                <w:b/>
              </w:rPr>
              <w:t>Kategoria ryzyka</w:t>
            </w:r>
          </w:p>
        </w:tc>
        <w:tc>
          <w:tcPr>
            <w:tcW w:w="6327" w:type="dxa"/>
            <w:vAlign w:val="center"/>
          </w:tcPr>
          <w:p w14:paraId="1DC64042" w14:textId="77777777" w:rsidR="0030779F" w:rsidRPr="00D96F10" w:rsidRDefault="00AF6DF2" w:rsidP="00F838A6">
            <w:pPr>
              <w:spacing w:line="276" w:lineRule="auto"/>
              <w:rPr>
                <w:rFonts w:asciiTheme="minorHAnsi" w:hAnsiTheme="minorHAnsi" w:cstheme="minorHAnsi"/>
                <w:spacing w:val="4"/>
              </w:rPr>
            </w:pPr>
            <w:r w:rsidRPr="00D96F10">
              <w:rPr>
                <w:rFonts w:asciiTheme="minorHAnsi" w:hAnsiTheme="minorHAnsi" w:cstheme="minorHAnsi"/>
                <w:b/>
              </w:rPr>
              <w:t>Opis ryzyka</w:t>
            </w:r>
          </w:p>
        </w:tc>
      </w:tr>
      <w:tr w:rsidR="00D96F10" w:rsidRPr="00D96F10" w14:paraId="3997E0C2" w14:textId="77777777" w:rsidTr="00654057">
        <w:trPr>
          <w:trHeight w:val="2962"/>
        </w:trPr>
        <w:tc>
          <w:tcPr>
            <w:tcW w:w="852" w:type="dxa"/>
            <w:vAlign w:val="center"/>
          </w:tcPr>
          <w:p w14:paraId="4CE434F2" w14:textId="77777777" w:rsidR="0030779F" w:rsidRPr="00D96F10" w:rsidRDefault="00AF6DF2" w:rsidP="00F838A6">
            <w:pPr>
              <w:spacing w:line="276" w:lineRule="auto"/>
              <w:rPr>
                <w:rFonts w:asciiTheme="minorHAnsi" w:hAnsiTheme="minorHAnsi" w:cstheme="minorHAnsi"/>
                <w:spacing w:val="4"/>
              </w:rPr>
            </w:pPr>
            <w:r w:rsidRPr="00D96F10">
              <w:rPr>
                <w:rFonts w:asciiTheme="minorHAnsi" w:hAnsiTheme="minorHAnsi" w:cstheme="minorHAnsi"/>
                <w:spacing w:val="4"/>
              </w:rPr>
              <w:t>1.2.1</w:t>
            </w:r>
          </w:p>
        </w:tc>
        <w:tc>
          <w:tcPr>
            <w:tcW w:w="3027" w:type="dxa"/>
            <w:vAlign w:val="center"/>
          </w:tcPr>
          <w:p w14:paraId="69D01515" w14:textId="77777777" w:rsidR="0030779F" w:rsidRPr="00D96F10" w:rsidRDefault="00AF6DF2" w:rsidP="00F838A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96F10">
              <w:rPr>
                <w:rFonts w:asciiTheme="minorHAnsi" w:hAnsiTheme="minorHAnsi" w:cstheme="minorHAnsi"/>
              </w:rPr>
              <w:t>Ryzyka związane z odkryciami archeologicznymi</w:t>
            </w:r>
          </w:p>
        </w:tc>
        <w:tc>
          <w:tcPr>
            <w:tcW w:w="6327" w:type="dxa"/>
          </w:tcPr>
          <w:p w14:paraId="6EC5B96B" w14:textId="77777777" w:rsidR="004A3DEF" w:rsidRPr="00D96F10" w:rsidRDefault="004A3DEF" w:rsidP="00F838A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F10">
              <w:rPr>
                <w:rFonts w:asciiTheme="minorHAnsi" w:hAnsiTheme="minorHAnsi" w:cstheme="minorHAnsi"/>
                <w:spacing w:val="4"/>
              </w:rPr>
              <w:t xml:space="preserve">W przypadku </w:t>
            </w:r>
            <w:r w:rsidRPr="00D96F10">
              <w:rPr>
                <w:rFonts w:asciiTheme="minorHAnsi" w:hAnsiTheme="minorHAnsi" w:cstheme="minorHAnsi"/>
              </w:rPr>
              <w:t xml:space="preserve">odkrycia </w:t>
            </w:r>
            <w:r w:rsidR="00FE029D" w:rsidRPr="00D96F10">
              <w:rPr>
                <w:rFonts w:asciiTheme="minorHAnsi" w:hAnsiTheme="minorHAnsi" w:cstheme="minorHAnsi"/>
                <w:spacing w:val="4"/>
              </w:rPr>
              <w:t>archeologicznego powodującego konieczność wstrzymania Robót Budowlanych celem przebadania i zabezpieczenia odkrycia na Terenie Budowy</w:t>
            </w:r>
            <w:r w:rsidRPr="00D96F10">
              <w:rPr>
                <w:rFonts w:asciiTheme="minorHAnsi" w:hAnsiTheme="minorHAnsi" w:cstheme="minorHAnsi"/>
              </w:rPr>
              <w:t>, Podmiot Publiczny po otrzymaniu zgłoszenia o tym fakcie, poinformuje właściwe organy administracji w terminach określonych w przepisach Prawa.</w:t>
            </w:r>
          </w:p>
          <w:p w14:paraId="32672234" w14:textId="77777777" w:rsidR="0030779F" w:rsidRPr="00D96F10" w:rsidRDefault="00AF6DF2" w:rsidP="00F838A6">
            <w:pPr>
              <w:spacing w:after="120" w:line="276" w:lineRule="auto"/>
              <w:rPr>
                <w:rFonts w:asciiTheme="minorHAnsi" w:hAnsiTheme="minorHAnsi" w:cstheme="minorHAnsi"/>
                <w:spacing w:val="4"/>
              </w:rPr>
            </w:pPr>
            <w:r w:rsidRPr="00D96F10">
              <w:rPr>
                <w:rFonts w:asciiTheme="minorHAnsi" w:hAnsiTheme="minorHAnsi" w:cstheme="minorHAnsi"/>
                <w:spacing w:val="4"/>
              </w:rPr>
              <w:t>Odkrycie</w:t>
            </w:r>
            <w:r w:rsidR="00FD120A" w:rsidRPr="00D96F10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D96F10">
              <w:rPr>
                <w:rFonts w:asciiTheme="minorHAnsi" w:hAnsiTheme="minorHAnsi" w:cstheme="minorHAnsi"/>
                <w:spacing w:val="4"/>
              </w:rPr>
              <w:t>archeologiczne powodujące</w:t>
            </w:r>
            <w:r w:rsidR="00FE029D" w:rsidRPr="00D96F10">
              <w:rPr>
                <w:rFonts w:asciiTheme="minorHAnsi" w:hAnsiTheme="minorHAnsi" w:cstheme="minorHAnsi"/>
                <w:spacing w:val="4"/>
              </w:rPr>
              <w:t xml:space="preserve"> konieczność wstrzymania Robót Budowlanych celem przebadania i zabezpieczenia odkrycia na Terenie Budowy stanowi Zdarzenie Nieprzewidywalne</w:t>
            </w:r>
            <w:r w:rsidR="00E96AAD" w:rsidRPr="00D96F10">
              <w:rPr>
                <w:rFonts w:asciiTheme="minorHAnsi" w:hAnsiTheme="minorHAnsi" w:cstheme="minorHAnsi"/>
                <w:spacing w:val="4"/>
              </w:rPr>
              <w:t xml:space="preserve"> w rozumieniu pkt 29.1. Umowy</w:t>
            </w:r>
            <w:r w:rsidR="00FE029D" w:rsidRPr="00D96F10">
              <w:rPr>
                <w:rFonts w:asciiTheme="minorHAnsi" w:hAnsiTheme="minorHAnsi" w:cstheme="minorHAnsi"/>
                <w:spacing w:val="4"/>
              </w:rPr>
              <w:t>.</w:t>
            </w:r>
          </w:p>
        </w:tc>
      </w:tr>
      <w:tr w:rsidR="00D96F10" w:rsidRPr="00D96F10" w14:paraId="2E77FEC5" w14:textId="77777777" w:rsidTr="00B30486">
        <w:tc>
          <w:tcPr>
            <w:tcW w:w="852" w:type="dxa"/>
            <w:vAlign w:val="center"/>
          </w:tcPr>
          <w:p w14:paraId="12965157" w14:textId="77777777" w:rsidR="0030779F" w:rsidRPr="00D96F10" w:rsidRDefault="00AF6DF2" w:rsidP="00F838A6">
            <w:pPr>
              <w:spacing w:line="276" w:lineRule="auto"/>
              <w:rPr>
                <w:rFonts w:asciiTheme="minorHAnsi" w:hAnsiTheme="minorHAnsi" w:cstheme="minorHAnsi"/>
                <w:spacing w:val="4"/>
              </w:rPr>
            </w:pPr>
            <w:r w:rsidRPr="00D96F10">
              <w:rPr>
                <w:rFonts w:asciiTheme="minorHAnsi" w:hAnsiTheme="minorHAnsi" w:cstheme="minorHAnsi"/>
                <w:spacing w:val="4"/>
              </w:rPr>
              <w:t>1.2.2</w:t>
            </w:r>
          </w:p>
        </w:tc>
        <w:tc>
          <w:tcPr>
            <w:tcW w:w="3027" w:type="dxa"/>
            <w:vAlign w:val="center"/>
          </w:tcPr>
          <w:p w14:paraId="2BBB286F" w14:textId="77777777" w:rsidR="0030779F" w:rsidRPr="00D96F10" w:rsidRDefault="00AF6DF2" w:rsidP="00F838A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96F10">
              <w:rPr>
                <w:rFonts w:asciiTheme="minorHAnsi" w:hAnsiTheme="minorHAnsi" w:cstheme="minorHAnsi"/>
              </w:rPr>
              <w:t>Ryzyka związane ze zmianą celów politycznych</w:t>
            </w:r>
          </w:p>
        </w:tc>
        <w:tc>
          <w:tcPr>
            <w:tcW w:w="6327" w:type="dxa"/>
          </w:tcPr>
          <w:p w14:paraId="460AFC25" w14:textId="77777777" w:rsidR="0030779F" w:rsidRPr="00D96F10" w:rsidRDefault="00AF6DF2" w:rsidP="00F838A6">
            <w:pPr>
              <w:spacing w:before="120" w:after="120" w:line="276" w:lineRule="auto"/>
              <w:rPr>
                <w:rFonts w:asciiTheme="minorHAnsi" w:hAnsiTheme="minorHAnsi" w:cstheme="minorHAnsi"/>
                <w:spacing w:val="4"/>
              </w:rPr>
            </w:pPr>
            <w:r w:rsidRPr="00D96F10">
              <w:rPr>
                <w:rFonts w:asciiTheme="minorHAnsi" w:hAnsiTheme="minorHAnsi" w:cstheme="minorHAnsi"/>
                <w:spacing w:val="4"/>
              </w:rPr>
              <w:t xml:space="preserve">W przypadku zmiany celów politycznych Podmiotu Publicznego skutkujących zaprzestaniem realizacji Umowy lub odstąpieniem od Umowy na Etapie Robót, Podmiot Publiczny zobowiązany będzie do zapłaty Partnerowi Prywatnemu kwoty Wynagrodzenia za Etap </w:t>
            </w:r>
            <w:r w:rsidR="00E96AAD" w:rsidRPr="00D96F10">
              <w:rPr>
                <w:rFonts w:asciiTheme="minorHAnsi" w:hAnsiTheme="minorHAnsi" w:cstheme="minorHAnsi"/>
                <w:spacing w:val="4"/>
              </w:rPr>
              <w:t xml:space="preserve">Inwestycyjny </w:t>
            </w:r>
            <w:r w:rsidRPr="00D96F10">
              <w:rPr>
                <w:rFonts w:asciiTheme="minorHAnsi" w:hAnsiTheme="minorHAnsi" w:cstheme="minorHAnsi"/>
                <w:spacing w:val="4"/>
              </w:rPr>
              <w:t xml:space="preserve">na zasadach określonych w Umowie na wypadek wcześniejszego zakończenia Umowy. </w:t>
            </w:r>
          </w:p>
        </w:tc>
      </w:tr>
      <w:tr w:rsidR="00D96F10" w:rsidRPr="00D96F10" w14:paraId="5A7A8BCD" w14:textId="77777777" w:rsidTr="00B30486">
        <w:tc>
          <w:tcPr>
            <w:tcW w:w="852" w:type="dxa"/>
            <w:vAlign w:val="center"/>
          </w:tcPr>
          <w:p w14:paraId="266E3FD3" w14:textId="165DD1FA" w:rsidR="0030779F" w:rsidRPr="00D96F10" w:rsidRDefault="00F81DD2" w:rsidP="00F838A6">
            <w:pPr>
              <w:spacing w:line="276" w:lineRule="auto"/>
              <w:rPr>
                <w:rFonts w:asciiTheme="minorHAnsi" w:hAnsiTheme="minorHAnsi" w:cstheme="minorHAnsi"/>
                <w:spacing w:val="4"/>
              </w:rPr>
            </w:pPr>
            <w:r w:rsidRPr="00D96F10">
              <w:rPr>
                <w:rFonts w:asciiTheme="minorHAnsi" w:hAnsiTheme="minorHAnsi" w:cstheme="minorHAnsi"/>
                <w:spacing w:val="4"/>
              </w:rPr>
              <w:t>1.2.3.</w:t>
            </w:r>
          </w:p>
        </w:tc>
        <w:tc>
          <w:tcPr>
            <w:tcW w:w="3027" w:type="dxa"/>
            <w:vAlign w:val="center"/>
          </w:tcPr>
          <w:p w14:paraId="6E934B12" w14:textId="77777777" w:rsidR="0030779F" w:rsidRPr="00D96F10" w:rsidRDefault="00AF6DF2" w:rsidP="00F838A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96F10">
              <w:rPr>
                <w:rFonts w:asciiTheme="minorHAnsi" w:hAnsiTheme="minorHAnsi" w:cstheme="minorHAnsi"/>
              </w:rPr>
              <w:t>Ryzyka związane z wystąpieniem Siły Wyższej</w:t>
            </w:r>
          </w:p>
        </w:tc>
        <w:tc>
          <w:tcPr>
            <w:tcW w:w="6327" w:type="dxa"/>
          </w:tcPr>
          <w:p w14:paraId="23B3E2CC" w14:textId="77777777" w:rsidR="004A3DEF" w:rsidRPr="00D96F10" w:rsidRDefault="004A3DEF" w:rsidP="00F838A6">
            <w:pPr>
              <w:spacing w:before="120" w:after="120" w:line="276" w:lineRule="auto"/>
              <w:rPr>
                <w:rFonts w:asciiTheme="minorHAnsi" w:hAnsiTheme="minorHAnsi" w:cstheme="minorHAnsi"/>
                <w:spacing w:val="4"/>
              </w:rPr>
            </w:pPr>
            <w:r w:rsidRPr="00D96F10">
              <w:rPr>
                <w:rFonts w:asciiTheme="minorHAnsi" w:hAnsiTheme="minorHAnsi" w:cstheme="minorHAnsi"/>
                <w:spacing w:val="4"/>
              </w:rPr>
              <w:t>Siła wyższa rozumiana jest jako zdarzenie nagłe i nieprzewidywalne, którego skutkom Partner Prywatny nie mógł się przeciwstawić bądź którego skutkom przeciwstawienie się przez Partnera Prywatnego wiązałoby się z poniesieniem kosztów niewspółmiernych do kosztów ponoszonych w normalnym toku realizacji Przedsięwzięcia.</w:t>
            </w:r>
          </w:p>
          <w:p w14:paraId="47106188" w14:textId="77777777" w:rsidR="0030779F" w:rsidRPr="00D96F10" w:rsidRDefault="004A3DEF" w:rsidP="00F838A6">
            <w:pPr>
              <w:spacing w:before="120" w:after="120" w:line="276" w:lineRule="auto"/>
              <w:rPr>
                <w:rFonts w:asciiTheme="minorHAnsi" w:hAnsiTheme="minorHAnsi" w:cstheme="minorHAnsi"/>
                <w:spacing w:val="4"/>
              </w:rPr>
            </w:pPr>
            <w:r w:rsidRPr="00D96F10">
              <w:rPr>
                <w:rFonts w:asciiTheme="minorHAnsi" w:hAnsiTheme="minorHAnsi" w:cstheme="minorHAnsi"/>
                <w:spacing w:val="4"/>
              </w:rPr>
              <w:t xml:space="preserve">Ziszczenie się zdarzeń stanowiących Siłę Wyższą mającej wpływ na realizację Przedsięwzięcia na Etapie </w:t>
            </w:r>
            <w:r w:rsidR="00E96AAD" w:rsidRPr="00D96F10">
              <w:rPr>
                <w:rFonts w:asciiTheme="minorHAnsi" w:hAnsiTheme="minorHAnsi" w:cstheme="minorHAnsi"/>
                <w:spacing w:val="4"/>
              </w:rPr>
              <w:t xml:space="preserve">Inwestycyjnym </w:t>
            </w:r>
            <w:r w:rsidRPr="00D96F10">
              <w:rPr>
                <w:rFonts w:asciiTheme="minorHAnsi" w:hAnsiTheme="minorHAnsi" w:cstheme="minorHAnsi"/>
                <w:spacing w:val="4"/>
              </w:rPr>
              <w:t xml:space="preserve">i powodującej </w:t>
            </w:r>
            <w:r w:rsidR="00B30486" w:rsidRPr="00D96F10">
              <w:rPr>
                <w:rFonts w:asciiTheme="minorHAnsi" w:hAnsiTheme="minorHAnsi" w:cstheme="minorHAnsi"/>
                <w:spacing w:val="4"/>
              </w:rPr>
              <w:t xml:space="preserve">w </w:t>
            </w:r>
            <w:r w:rsidRPr="00D96F10">
              <w:rPr>
                <w:rFonts w:asciiTheme="minorHAnsi" w:hAnsiTheme="minorHAnsi" w:cstheme="minorHAnsi"/>
                <w:spacing w:val="4"/>
              </w:rPr>
              <w:t>udokumentowany sposób bezpośredni wzrost kosztów jego realizacji przez Partnera Prywatnego stanowi Zdarzenie Nieprzewidywalne</w:t>
            </w:r>
            <w:r w:rsidR="00E96AAD" w:rsidRPr="00D96F10">
              <w:rPr>
                <w:rFonts w:asciiTheme="minorHAnsi" w:hAnsiTheme="minorHAnsi" w:cstheme="minorHAnsi"/>
                <w:spacing w:val="4"/>
              </w:rPr>
              <w:t xml:space="preserve"> w rozumieniu 29.1. Umowy</w:t>
            </w:r>
            <w:r w:rsidRPr="00D96F10">
              <w:rPr>
                <w:rFonts w:asciiTheme="minorHAnsi" w:hAnsiTheme="minorHAnsi" w:cstheme="minorHAnsi"/>
                <w:spacing w:val="4"/>
              </w:rPr>
              <w:t xml:space="preserve">. </w:t>
            </w:r>
          </w:p>
        </w:tc>
      </w:tr>
      <w:tr w:rsidR="00D96F10" w:rsidRPr="00D96F10" w14:paraId="160D6671" w14:textId="77777777" w:rsidTr="00B30486">
        <w:tc>
          <w:tcPr>
            <w:tcW w:w="852" w:type="dxa"/>
            <w:vAlign w:val="center"/>
          </w:tcPr>
          <w:p w14:paraId="2A5218CE" w14:textId="65498AD9" w:rsidR="0030779F" w:rsidRPr="00D96F10" w:rsidRDefault="00E7142C" w:rsidP="00F838A6">
            <w:pPr>
              <w:spacing w:line="276" w:lineRule="auto"/>
              <w:rPr>
                <w:rFonts w:asciiTheme="minorHAnsi" w:hAnsiTheme="minorHAnsi" w:cstheme="minorHAnsi"/>
                <w:spacing w:val="4"/>
              </w:rPr>
            </w:pPr>
            <w:r w:rsidRPr="00D96F10">
              <w:rPr>
                <w:rFonts w:asciiTheme="minorHAnsi" w:hAnsiTheme="minorHAnsi" w:cstheme="minorHAnsi"/>
                <w:spacing w:val="4"/>
              </w:rPr>
              <w:t>1.2.</w:t>
            </w:r>
            <w:r w:rsidR="00F81DD2" w:rsidRPr="00D96F10">
              <w:rPr>
                <w:rFonts w:asciiTheme="minorHAnsi" w:hAnsiTheme="minorHAnsi" w:cstheme="minorHAnsi"/>
                <w:spacing w:val="4"/>
              </w:rPr>
              <w:t>4.</w:t>
            </w:r>
          </w:p>
        </w:tc>
        <w:tc>
          <w:tcPr>
            <w:tcW w:w="3027" w:type="dxa"/>
            <w:vAlign w:val="center"/>
          </w:tcPr>
          <w:p w14:paraId="2A8E6ECE" w14:textId="77777777" w:rsidR="0030779F" w:rsidRPr="00D96F10" w:rsidRDefault="0030779F" w:rsidP="00F838A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F10">
              <w:rPr>
                <w:rFonts w:asciiTheme="minorHAnsi" w:hAnsiTheme="minorHAnsi" w:cstheme="minorHAnsi"/>
              </w:rPr>
              <w:t>Ryzyko wpływu konserwatora zabytków na zakres prac</w:t>
            </w:r>
          </w:p>
        </w:tc>
        <w:tc>
          <w:tcPr>
            <w:tcW w:w="6327" w:type="dxa"/>
          </w:tcPr>
          <w:p w14:paraId="353D91C1" w14:textId="77777777" w:rsidR="0030779F" w:rsidRPr="00D96F10" w:rsidRDefault="004A3DEF" w:rsidP="00F838A6">
            <w:pPr>
              <w:spacing w:before="120" w:after="120" w:line="276" w:lineRule="auto"/>
              <w:rPr>
                <w:rFonts w:asciiTheme="minorHAnsi" w:hAnsiTheme="minorHAnsi" w:cstheme="minorHAnsi"/>
                <w:spacing w:val="4"/>
              </w:rPr>
            </w:pPr>
            <w:r w:rsidRPr="00D96F10">
              <w:rPr>
                <w:rFonts w:asciiTheme="minorHAnsi" w:hAnsiTheme="minorHAnsi" w:cstheme="minorHAnsi"/>
                <w:spacing w:val="4"/>
              </w:rPr>
              <w:t>Pod warunkiem złożenia przez Partnera Prywatnego kompletnego wniosku o wydanie decyzji przez konserwatora zabytków, decyzja konserwatora zabytków powodująca wzrost kosztów po stronie Partnera Prywatnego stanowi Zdarzenie Nieprzewidywalne</w:t>
            </w:r>
            <w:r w:rsidR="00E96AAD" w:rsidRPr="00D96F10">
              <w:rPr>
                <w:rFonts w:asciiTheme="minorHAnsi" w:hAnsiTheme="minorHAnsi" w:cstheme="minorHAnsi"/>
                <w:spacing w:val="4"/>
              </w:rPr>
              <w:t xml:space="preserve"> w rozumieniu 29.1. Umowy</w:t>
            </w:r>
            <w:r w:rsidRPr="00D96F10">
              <w:rPr>
                <w:rFonts w:asciiTheme="minorHAnsi" w:hAnsiTheme="minorHAnsi" w:cstheme="minorHAnsi"/>
              </w:rPr>
              <w:t>.</w:t>
            </w:r>
            <w:r w:rsidR="00E96AAD" w:rsidRPr="00D96F1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96F10" w:rsidRPr="00D96F10" w14:paraId="7022D547" w14:textId="77777777" w:rsidTr="00B30486">
        <w:tc>
          <w:tcPr>
            <w:tcW w:w="852" w:type="dxa"/>
            <w:vAlign w:val="center"/>
          </w:tcPr>
          <w:p w14:paraId="1B1FC1EA" w14:textId="7FDBA524" w:rsidR="0030779F" w:rsidRPr="00D96F10" w:rsidRDefault="00E7142C" w:rsidP="00F838A6">
            <w:pPr>
              <w:spacing w:line="276" w:lineRule="auto"/>
              <w:rPr>
                <w:rFonts w:asciiTheme="minorHAnsi" w:hAnsiTheme="minorHAnsi" w:cstheme="minorHAnsi"/>
                <w:spacing w:val="4"/>
              </w:rPr>
            </w:pPr>
            <w:r w:rsidRPr="00D96F10">
              <w:rPr>
                <w:rFonts w:asciiTheme="minorHAnsi" w:hAnsiTheme="minorHAnsi" w:cstheme="minorHAnsi"/>
                <w:spacing w:val="4"/>
              </w:rPr>
              <w:t>1.2.</w:t>
            </w:r>
            <w:r w:rsidR="00F81DD2" w:rsidRPr="00D96F10">
              <w:rPr>
                <w:rFonts w:asciiTheme="minorHAnsi" w:hAnsiTheme="minorHAnsi" w:cstheme="minorHAnsi"/>
                <w:spacing w:val="4"/>
              </w:rPr>
              <w:t>5.</w:t>
            </w:r>
          </w:p>
        </w:tc>
        <w:tc>
          <w:tcPr>
            <w:tcW w:w="3027" w:type="dxa"/>
            <w:vAlign w:val="center"/>
          </w:tcPr>
          <w:p w14:paraId="2C5EDEB6" w14:textId="77777777" w:rsidR="0030779F" w:rsidRPr="00D96F10" w:rsidRDefault="0030779F" w:rsidP="00F838A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96F10">
              <w:rPr>
                <w:rFonts w:asciiTheme="minorHAnsi" w:hAnsiTheme="minorHAnsi" w:cstheme="minorHAnsi"/>
              </w:rPr>
              <w:t xml:space="preserve">Ryzyka </w:t>
            </w:r>
            <w:r w:rsidR="004A3DEF" w:rsidRPr="00D96F10">
              <w:rPr>
                <w:rFonts w:asciiTheme="minorHAnsi" w:hAnsiTheme="minorHAnsi" w:cstheme="minorHAnsi"/>
              </w:rPr>
              <w:t xml:space="preserve">związane z planowaniem </w:t>
            </w:r>
            <w:r w:rsidR="006671E9" w:rsidRPr="00D96F10">
              <w:rPr>
                <w:rFonts w:asciiTheme="minorHAnsi" w:hAnsiTheme="minorHAnsi" w:cstheme="minorHAnsi"/>
              </w:rPr>
              <w:t>Przedsięwzięcia</w:t>
            </w:r>
          </w:p>
        </w:tc>
        <w:tc>
          <w:tcPr>
            <w:tcW w:w="6327" w:type="dxa"/>
          </w:tcPr>
          <w:p w14:paraId="4E92C881" w14:textId="77777777" w:rsidR="0030779F" w:rsidRPr="00D96F10" w:rsidRDefault="004A3DEF" w:rsidP="00F838A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F10">
              <w:rPr>
                <w:rFonts w:asciiTheme="minorHAnsi" w:hAnsiTheme="minorHAnsi" w:cstheme="minorHAnsi"/>
              </w:rPr>
              <w:t xml:space="preserve">Podmiot Publiczny ponosi ryzyka związane z poprawnością Programu </w:t>
            </w:r>
            <w:proofErr w:type="spellStart"/>
            <w:r w:rsidRPr="00D96F10">
              <w:rPr>
                <w:rFonts w:asciiTheme="minorHAnsi" w:hAnsiTheme="minorHAnsi" w:cstheme="minorHAnsi"/>
              </w:rPr>
              <w:t>Funkcjonalno</w:t>
            </w:r>
            <w:proofErr w:type="spellEnd"/>
            <w:r w:rsidRPr="00D96F10">
              <w:rPr>
                <w:rFonts w:asciiTheme="minorHAnsi" w:hAnsiTheme="minorHAnsi" w:cstheme="minorHAnsi"/>
              </w:rPr>
              <w:t xml:space="preserve"> - Użytkowego, z zastrzeżeniem obowiązków Partnera Prywatnego określonego w pkt 14.3. Umowy.</w:t>
            </w:r>
            <w:r w:rsidR="00E96AAD" w:rsidRPr="00D96F10">
              <w:rPr>
                <w:rFonts w:asciiTheme="minorHAnsi" w:hAnsiTheme="minorHAnsi" w:cstheme="minorHAnsi"/>
              </w:rPr>
              <w:t xml:space="preserve"> Wada w rozumieniu k.c. Programu </w:t>
            </w:r>
            <w:proofErr w:type="spellStart"/>
            <w:r w:rsidR="00E96AAD" w:rsidRPr="00D96F10">
              <w:rPr>
                <w:rFonts w:asciiTheme="minorHAnsi" w:hAnsiTheme="minorHAnsi" w:cstheme="minorHAnsi"/>
              </w:rPr>
              <w:t>Funkcjonalno</w:t>
            </w:r>
            <w:proofErr w:type="spellEnd"/>
            <w:r w:rsidR="00E96AAD" w:rsidRPr="00D96F10">
              <w:rPr>
                <w:rFonts w:asciiTheme="minorHAnsi" w:hAnsiTheme="minorHAnsi" w:cstheme="minorHAnsi"/>
              </w:rPr>
              <w:t xml:space="preserve"> – Użytkowego oraz innych dokumentów Podmiotu Publicznego niezbędnych do projektowania, której Partner Prywatny nie był w stanie zidentyfikować do momentu złożenia </w:t>
            </w:r>
            <w:r w:rsidR="00E96AAD" w:rsidRPr="00D96F10">
              <w:rPr>
                <w:rFonts w:asciiTheme="minorHAnsi" w:hAnsiTheme="minorHAnsi" w:cstheme="minorHAnsi"/>
              </w:rPr>
              <w:lastRenderedPageBreak/>
              <w:t xml:space="preserve">Oferty, pomimo dołożenia należytej staranności właściwej dla profesjonalisty, stanowi Zdarzenie Nieprzewidywalne, o którym mowa w pkt 29.1. Umowy. </w:t>
            </w:r>
          </w:p>
        </w:tc>
      </w:tr>
      <w:tr w:rsidR="00D96F10" w:rsidRPr="00D96F10" w14:paraId="0E253715" w14:textId="77777777" w:rsidTr="00AB593C">
        <w:tc>
          <w:tcPr>
            <w:tcW w:w="10206" w:type="dxa"/>
            <w:gridSpan w:val="3"/>
            <w:vAlign w:val="center"/>
          </w:tcPr>
          <w:p w14:paraId="05E3C5BA" w14:textId="71E3286E" w:rsidR="00F81DD2" w:rsidRPr="00D96F10" w:rsidRDefault="00F81DD2" w:rsidP="00F838A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pacing w:val="4"/>
              </w:rPr>
            </w:pPr>
            <w:r w:rsidRPr="00D96F10">
              <w:rPr>
                <w:rFonts w:asciiTheme="minorHAnsi" w:hAnsiTheme="minorHAnsi" w:cstheme="minorHAnsi"/>
                <w:b/>
              </w:rPr>
              <w:lastRenderedPageBreak/>
              <w:t>Ryzyka Projektowania i Budowy ponoszone przez Podmiot Publiczny, które Partner Prywatny może przyjąć na siebie w ramach kryterium oceny ofert, zgodnie z oświadczeniem złożonym w Ofercie</w:t>
            </w:r>
          </w:p>
        </w:tc>
      </w:tr>
      <w:tr w:rsidR="00D96F10" w:rsidRPr="00D96F10" w14:paraId="31FE7188" w14:textId="77777777" w:rsidTr="00D25508">
        <w:tc>
          <w:tcPr>
            <w:tcW w:w="852" w:type="dxa"/>
            <w:vAlign w:val="center"/>
          </w:tcPr>
          <w:p w14:paraId="035CEB86" w14:textId="285B5DDA" w:rsidR="00F81DD2" w:rsidRPr="00D96F10" w:rsidRDefault="00F81DD2" w:rsidP="00F838A6">
            <w:pPr>
              <w:spacing w:line="276" w:lineRule="auto"/>
              <w:rPr>
                <w:rFonts w:asciiTheme="minorHAnsi" w:hAnsiTheme="minorHAnsi" w:cstheme="minorHAnsi"/>
                <w:spacing w:val="4"/>
              </w:rPr>
            </w:pPr>
            <w:bookmarkStart w:id="19" w:name="_Hlk38073968"/>
            <w:r w:rsidRPr="00D96F10">
              <w:rPr>
                <w:rFonts w:asciiTheme="minorHAnsi" w:hAnsiTheme="minorHAnsi" w:cstheme="minorHAnsi"/>
                <w:spacing w:val="4"/>
              </w:rPr>
              <w:t>1.2.6.</w:t>
            </w:r>
          </w:p>
        </w:tc>
        <w:tc>
          <w:tcPr>
            <w:tcW w:w="3027" w:type="dxa"/>
            <w:vAlign w:val="center"/>
          </w:tcPr>
          <w:p w14:paraId="1EC4285B" w14:textId="36C1E1D9" w:rsidR="00F81DD2" w:rsidRPr="00D96F10" w:rsidRDefault="00F81DD2" w:rsidP="00F838A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96F10">
              <w:rPr>
                <w:rFonts w:asciiTheme="minorHAnsi" w:hAnsiTheme="minorHAnsi" w:cstheme="minorHAnsi"/>
              </w:rPr>
              <w:t xml:space="preserve">Ryzyka związane z wystąpieniem Zmian Prawa mających wpływ na realizację Etapu Inwestycyjnego </w:t>
            </w:r>
          </w:p>
        </w:tc>
        <w:tc>
          <w:tcPr>
            <w:tcW w:w="6327" w:type="dxa"/>
          </w:tcPr>
          <w:p w14:paraId="35A4CC28" w14:textId="77777777" w:rsidR="00F81DD2" w:rsidRPr="00D96F10" w:rsidRDefault="00F81DD2" w:rsidP="00F838A6">
            <w:pPr>
              <w:spacing w:before="120" w:after="120" w:line="276" w:lineRule="auto"/>
              <w:rPr>
                <w:rFonts w:asciiTheme="minorHAnsi" w:hAnsiTheme="minorHAnsi" w:cstheme="minorHAnsi"/>
                <w:spacing w:val="4"/>
              </w:rPr>
            </w:pPr>
            <w:r w:rsidRPr="00D96F10">
              <w:rPr>
                <w:rFonts w:asciiTheme="minorHAnsi" w:hAnsiTheme="minorHAnsi" w:cstheme="minorHAnsi"/>
                <w:spacing w:val="4"/>
              </w:rPr>
              <w:t xml:space="preserve">W wypadku wystąpienia Zmian Prawa mających wpływ na realizację Przedsięwzięcia na Etapie Inwestycyjnym, Strony podejmą procedurę określoną w pkt 29.2. Umowy. </w:t>
            </w:r>
          </w:p>
          <w:p w14:paraId="664CF922" w14:textId="33A24807" w:rsidR="00F81DD2" w:rsidRPr="00D96F10" w:rsidRDefault="00F81DD2" w:rsidP="00F838A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F10">
              <w:rPr>
                <w:rFonts w:asciiTheme="minorHAnsi" w:hAnsiTheme="minorHAnsi" w:cstheme="minorHAnsi"/>
              </w:rPr>
              <w:t>W przypadku przyjęcia ryzyka na siebie przez Partnera Prywatnego, prawo podjęcia procedury, o której mowa w pkt 29. 2 Umowy przysługuje Podmiotowi Publicznemu.</w:t>
            </w:r>
          </w:p>
        </w:tc>
      </w:tr>
      <w:bookmarkEnd w:id="19"/>
      <w:tr w:rsidR="00D96F10" w:rsidRPr="00D96F10" w14:paraId="75DF5D9F" w14:textId="77777777" w:rsidTr="00E011B3">
        <w:tc>
          <w:tcPr>
            <w:tcW w:w="852" w:type="dxa"/>
            <w:vAlign w:val="center"/>
          </w:tcPr>
          <w:p w14:paraId="095642A1" w14:textId="3DBE3A5D" w:rsidR="00F81DD2" w:rsidRPr="00D96F10" w:rsidRDefault="00F81DD2" w:rsidP="00F838A6">
            <w:pPr>
              <w:spacing w:line="276" w:lineRule="auto"/>
              <w:rPr>
                <w:rFonts w:asciiTheme="minorHAnsi" w:hAnsiTheme="minorHAnsi" w:cstheme="minorHAnsi"/>
                <w:spacing w:val="4"/>
              </w:rPr>
            </w:pPr>
            <w:r w:rsidRPr="00D96F10">
              <w:rPr>
                <w:rFonts w:asciiTheme="minorHAnsi" w:hAnsiTheme="minorHAnsi" w:cstheme="minorHAnsi"/>
                <w:spacing w:val="4"/>
              </w:rPr>
              <w:t>1.2.7.</w:t>
            </w:r>
          </w:p>
        </w:tc>
        <w:tc>
          <w:tcPr>
            <w:tcW w:w="3027" w:type="dxa"/>
            <w:vAlign w:val="center"/>
          </w:tcPr>
          <w:p w14:paraId="4D46D442" w14:textId="33F7714A" w:rsidR="00F81DD2" w:rsidRPr="00D96F10" w:rsidRDefault="00F81DD2" w:rsidP="00F838A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96F10">
              <w:rPr>
                <w:rFonts w:asciiTheme="minorHAnsi" w:hAnsiTheme="minorHAnsi" w:cstheme="minorHAnsi"/>
              </w:rPr>
              <w:t>Ryzyka związane z protestami społecznymi</w:t>
            </w:r>
          </w:p>
        </w:tc>
        <w:tc>
          <w:tcPr>
            <w:tcW w:w="6327" w:type="dxa"/>
          </w:tcPr>
          <w:p w14:paraId="73B1FF78" w14:textId="77777777" w:rsidR="00F81DD2" w:rsidRPr="00D96F10" w:rsidRDefault="00F81DD2" w:rsidP="00F838A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F10">
              <w:rPr>
                <w:rFonts w:asciiTheme="minorHAnsi" w:hAnsiTheme="minorHAnsi" w:cstheme="minorHAnsi"/>
              </w:rPr>
              <w:t>Podmiot Publiczny ponosi ryzyka związane z wystąpieniem protestów społecznych mających wpływ na realizację Etapu Inwestycyjnego, zgodnie z zasadami określonymi w pkt 29 Umowy.</w:t>
            </w:r>
          </w:p>
          <w:p w14:paraId="3149C38A" w14:textId="098344D9" w:rsidR="00F81DD2" w:rsidRPr="00D96F10" w:rsidRDefault="00F81DD2" w:rsidP="00F838A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F10">
              <w:rPr>
                <w:rFonts w:asciiTheme="minorHAnsi" w:hAnsiTheme="minorHAnsi" w:cstheme="minorHAnsi"/>
              </w:rPr>
              <w:t>W przypadku przyjęcia ryzyka na siebie przez Partnera Prywatnego, skorzystanie z uprawnień, o których mowa w pkt 29 Umowy przysługuje Podmiotowi Publicznemu.</w:t>
            </w:r>
          </w:p>
        </w:tc>
      </w:tr>
    </w:tbl>
    <w:p w14:paraId="15178A76" w14:textId="77777777" w:rsidR="0030779F" w:rsidRPr="00D96F10" w:rsidRDefault="0030779F" w:rsidP="00F838A6">
      <w:pPr>
        <w:spacing w:line="276" w:lineRule="auto"/>
        <w:rPr>
          <w:rFonts w:asciiTheme="minorHAnsi" w:hAnsiTheme="minorHAnsi" w:cstheme="minorHAnsi"/>
          <w:spacing w:val="4"/>
        </w:rPr>
      </w:pPr>
    </w:p>
    <w:p w14:paraId="43278159" w14:textId="77777777" w:rsidR="0030779F" w:rsidRPr="00D96F10" w:rsidRDefault="0077536A" w:rsidP="00F838A6">
      <w:pPr>
        <w:spacing w:after="120" w:line="276" w:lineRule="auto"/>
        <w:outlineLvl w:val="1"/>
        <w:rPr>
          <w:rFonts w:asciiTheme="minorHAnsi" w:hAnsiTheme="minorHAnsi" w:cstheme="minorHAnsi"/>
          <w:b/>
          <w:bCs/>
          <w:lang w:eastAsia="ar-SA"/>
        </w:rPr>
      </w:pPr>
      <w:bookmarkStart w:id="20" w:name="_Toc501528671"/>
      <w:r w:rsidRPr="00D96F10">
        <w:rPr>
          <w:rFonts w:asciiTheme="minorHAnsi" w:hAnsiTheme="minorHAnsi" w:cstheme="minorHAnsi"/>
          <w:b/>
          <w:bCs/>
          <w:lang w:eastAsia="ar-SA"/>
        </w:rPr>
        <w:t xml:space="preserve">1.3. </w:t>
      </w:r>
      <w:r w:rsidR="0030779F" w:rsidRPr="00D96F10">
        <w:rPr>
          <w:rFonts w:asciiTheme="minorHAnsi" w:hAnsiTheme="minorHAnsi" w:cstheme="minorHAnsi"/>
          <w:b/>
          <w:bCs/>
          <w:lang w:eastAsia="ar-SA"/>
        </w:rPr>
        <w:t>Ryzyka dostępności ponoszone przez Partnera Prywatnego</w:t>
      </w:r>
      <w:bookmarkEnd w:id="20"/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2942"/>
        <w:gridCol w:w="6522"/>
      </w:tblGrid>
      <w:tr w:rsidR="00D96F10" w:rsidRPr="00D96F10" w14:paraId="7737E257" w14:textId="77777777" w:rsidTr="00436B55">
        <w:tc>
          <w:tcPr>
            <w:tcW w:w="10206" w:type="dxa"/>
            <w:gridSpan w:val="3"/>
            <w:vAlign w:val="center"/>
          </w:tcPr>
          <w:p w14:paraId="5D99FAD0" w14:textId="77777777" w:rsidR="0030779F" w:rsidRPr="00D96F10" w:rsidRDefault="00AF6DF2" w:rsidP="00F838A6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D96F10">
              <w:rPr>
                <w:rFonts w:asciiTheme="minorHAnsi" w:hAnsiTheme="minorHAnsi" w:cstheme="minorHAnsi"/>
                <w:b/>
              </w:rPr>
              <w:t>Ryzyka dostępności ponoszone przez Partnera Prywatnego</w:t>
            </w:r>
          </w:p>
        </w:tc>
      </w:tr>
      <w:tr w:rsidR="00D96F10" w:rsidRPr="00D96F10" w14:paraId="7CB06EA8" w14:textId="77777777" w:rsidTr="005C01FF">
        <w:trPr>
          <w:trHeight w:val="389"/>
        </w:trPr>
        <w:tc>
          <w:tcPr>
            <w:tcW w:w="718" w:type="dxa"/>
          </w:tcPr>
          <w:p w14:paraId="35F30936" w14:textId="77777777" w:rsidR="0030779F" w:rsidRPr="00D96F10" w:rsidRDefault="0030779F" w:rsidP="00F838A6">
            <w:pPr>
              <w:spacing w:before="120" w:line="276" w:lineRule="auto"/>
              <w:rPr>
                <w:rFonts w:asciiTheme="minorHAnsi" w:hAnsiTheme="minorHAnsi" w:cstheme="minorHAnsi"/>
                <w:b/>
              </w:rPr>
            </w:pPr>
            <w:r w:rsidRPr="00D96F10">
              <w:rPr>
                <w:rFonts w:asciiTheme="minorHAnsi" w:hAnsiTheme="minorHAnsi" w:cstheme="minorHAnsi"/>
                <w:b/>
              </w:rPr>
              <w:t>Pkt</w:t>
            </w:r>
          </w:p>
        </w:tc>
        <w:tc>
          <w:tcPr>
            <w:tcW w:w="2947" w:type="dxa"/>
          </w:tcPr>
          <w:p w14:paraId="47B51BC8" w14:textId="77777777" w:rsidR="0030779F" w:rsidRPr="00D96F10" w:rsidRDefault="0030779F" w:rsidP="00F838A6">
            <w:pPr>
              <w:spacing w:before="120" w:line="276" w:lineRule="auto"/>
              <w:rPr>
                <w:rFonts w:asciiTheme="minorHAnsi" w:hAnsiTheme="minorHAnsi" w:cstheme="minorHAnsi"/>
                <w:b/>
              </w:rPr>
            </w:pPr>
            <w:r w:rsidRPr="00D96F10">
              <w:rPr>
                <w:rFonts w:asciiTheme="minorHAnsi" w:hAnsiTheme="minorHAnsi" w:cstheme="minorHAnsi"/>
                <w:b/>
              </w:rPr>
              <w:t>Kategoria ryzyka</w:t>
            </w:r>
          </w:p>
        </w:tc>
        <w:tc>
          <w:tcPr>
            <w:tcW w:w="6541" w:type="dxa"/>
          </w:tcPr>
          <w:p w14:paraId="09F7A638" w14:textId="77777777" w:rsidR="0030779F" w:rsidRPr="00D96F10" w:rsidRDefault="0030779F" w:rsidP="00F838A6">
            <w:pPr>
              <w:spacing w:before="120" w:line="276" w:lineRule="auto"/>
              <w:rPr>
                <w:rFonts w:asciiTheme="minorHAnsi" w:hAnsiTheme="minorHAnsi" w:cstheme="minorHAnsi"/>
                <w:b/>
              </w:rPr>
            </w:pPr>
            <w:r w:rsidRPr="00D96F10">
              <w:rPr>
                <w:rFonts w:asciiTheme="minorHAnsi" w:hAnsiTheme="minorHAnsi" w:cstheme="minorHAnsi"/>
                <w:b/>
              </w:rPr>
              <w:t>Opis ryzyka</w:t>
            </w:r>
          </w:p>
        </w:tc>
      </w:tr>
      <w:tr w:rsidR="00D96F10" w:rsidRPr="00D96F10" w14:paraId="46B232AF" w14:textId="77777777" w:rsidTr="005C01FF">
        <w:tc>
          <w:tcPr>
            <w:tcW w:w="718" w:type="dxa"/>
            <w:vAlign w:val="center"/>
          </w:tcPr>
          <w:p w14:paraId="17922BB4" w14:textId="77777777" w:rsidR="0030779F" w:rsidRPr="00D96F10" w:rsidRDefault="00436B55" w:rsidP="00F838A6">
            <w:pPr>
              <w:spacing w:line="276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D96F10">
              <w:rPr>
                <w:rFonts w:asciiTheme="minorHAnsi" w:hAnsiTheme="minorHAnsi" w:cstheme="minorHAnsi"/>
                <w:bCs/>
                <w:lang w:eastAsia="ar-SA"/>
              </w:rPr>
              <w:t>1.3.1.</w:t>
            </w:r>
          </w:p>
        </w:tc>
        <w:tc>
          <w:tcPr>
            <w:tcW w:w="2947" w:type="dxa"/>
            <w:vAlign w:val="center"/>
          </w:tcPr>
          <w:p w14:paraId="5DA357DA" w14:textId="77777777" w:rsidR="0030779F" w:rsidRPr="00D96F10" w:rsidRDefault="0030779F" w:rsidP="00F838A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96F10">
              <w:rPr>
                <w:rFonts w:asciiTheme="minorHAnsi" w:hAnsiTheme="minorHAnsi" w:cstheme="minorHAnsi"/>
              </w:rPr>
              <w:t xml:space="preserve">Ryzyka związane z brakiem zgodności realizacji Etapu Utrzymania z ogólnymi przepisami bezpieczeństwa i higieny pracy </w:t>
            </w:r>
            <w:bookmarkStart w:id="21" w:name="mip30431958"/>
            <w:bookmarkEnd w:id="21"/>
          </w:p>
        </w:tc>
        <w:tc>
          <w:tcPr>
            <w:tcW w:w="6541" w:type="dxa"/>
          </w:tcPr>
          <w:p w14:paraId="5E6E40A0" w14:textId="77777777" w:rsidR="0030779F" w:rsidRPr="00D96F10" w:rsidRDefault="0030779F" w:rsidP="00F838A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F10">
              <w:rPr>
                <w:rFonts w:asciiTheme="minorHAnsi" w:hAnsiTheme="minorHAnsi" w:cstheme="minorHAnsi"/>
              </w:rPr>
              <w:t>W przypadku niezgodności realizacji Etapu Utrzymania z ogólnymi przepisami bezpieczeństwa i higieny pracy z przyczyn zawinionych przez Partnera Prywatnego, Partner Prywatny poniesie we własnym zakresie kary nałożone przez właściwe organy administracji bez prawa regresu względem Podmiotu Publicznego, a ponadto poniesie we własnym zakresie koszty przywrócenia stanu zgodnego z Prawem.</w:t>
            </w:r>
          </w:p>
        </w:tc>
      </w:tr>
      <w:tr w:rsidR="00D96F10" w:rsidRPr="00D96F10" w14:paraId="3DB7E9A4" w14:textId="77777777" w:rsidTr="005C01FF">
        <w:tc>
          <w:tcPr>
            <w:tcW w:w="718" w:type="dxa"/>
            <w:vAlign w:val="center"/>
          </w:tcPr>
          <w:p w14:paraId="3D4F4761" w14:textId="77777777" w:rsidR="0030779F" w:rsidRPr="00D96F10" w:rsidRDefault="00436B55" w:rsidP="00F838A6">
            <w:pPr>
              <w:spacing w:line="276" w:lineRule="auto"/>
              <w:rPr>
                <w:rFonts w:asciiTheme="minorHAnsi" w:hAnsiTheme="minorHAnsi" w:cstheme="minorHAnsi"/>
                <w:bCs/>
                <w:lang w:eastAsia="ar-SA"/>
              </w:rPr>
            </w:pPr>
            <w:bookmarkStart w:id="22" w:name="mip30431959"/>
            <w:bookmarkStart w:id="23" w:name="mip30431960"/>
            <w:bookmarkEnd w:id="22"/>
            <w:bookmarkEnd w:id="23"/>
            <w:r w:rsidRPr="00D96F10">
              <w:rPr>
                <w:rFonts w:asciiTheme="minorHAnsi" w:hAnsiTheme="minorHAnsi" w:cstheme="minorHAnsi"/>
                <w:bCs/>
                <w:lang w:eastAsia="ar-SA"/>
              </w:rPr>
              <w:t>1.3.2.</w:t>
            </w:r>
          </w:p>
        </w:tc>
        <w:tc>
          <w:tcPr>
            <w:tcW w:w="2947" w:type="dxa"/>
            <w:vAlign w:val="center"/>
          </w:tcPr>
          <w:p w14:paraId="25722BFB" w14:textId="77777777" w:rsidR="0030779F" w:rsidRPr="00D96F10" w:rsidRDefault="0030779F" w:rsidP="00F838A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96F10">
              <w:rPr>
                <w:rFonts w:asciiTheme="minorHAnsi" w:hAnsiTheme="minorHAnsi" w:cstheme="minorHAnsi"/>
              </w:rPr>
              <w:t>Ryzyka związane z brakiem zasobów ludzkich i materialnych</w:t>
            </w:r>
            <w:bookmarkStart w:id="24" w:name="mip30431961"/>
            <w:bookmarkStart w:id="25" w:name="mip30431962"/>
            <w:bookmarkEnd w:id="24"/>
            <w:bookmarkEnd w:id="25"/>
          </w:p>
        </w:tc>
        <w:tc>
          <w:tcPr>
            <w:tcW w:w="6541" w:type="dxa"/>
          </w:tcPr>
          <w:p w14:paraId="280E0A8F" w14:textId="77777777" w:rsidR="0030779F" w:rsidRPr="00D96F10" w:rsidRDefault="004A3DEF" w:rsidP="00F838A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F10">
              <w:rPr>
                <w:rFonts w:asciiTheme="minorHAnsi" w:hAnsiTheme="minorHAnsi" w:cstheme="minorHAnsi"/>
              </w:rPr>
              <w:t>W przypadku niezapewnienia przez Partnera Prywatnego zasobów ludzkich lub materialnych z przyczyn od niego zależnych, powodujących nierozpoczęcie lub zaprzestanie realizacji obowiązków określonych w Umowie na Etapie Utrzymania, Partnerowi Prywatnemu nie przysługuje prawo żądania wydłużenia terminów na wykonywanie czynności określonych w Umowie, ani wzrostu Wynagrodzenia za Etap Utrzymania. W przypadku gdy niezapewnienie przez Partnera Prywatnego zasobów ludzkich lub materialnych doprowadzi do nienależytego wykonania Umowy, Podmiot Publiczny naliczy Partnerowi Prywatnemu kary umowne zgodnie z pkt 3</w:t>
            </w:r>
            <w:r w:rsidR="00436B55" w:rsidRPr="00D96F10">
              <w:rPr>
                <w:rFonts w:asciiTheme="minorHAnsi" w:hAnsiTheme="minorHAnsi" w:cstheme="minorHAnsi"/>
              </w:rPr>
              <w:t>4</w:t>
            </w:r>
            <w:r w:rsidRPr="00D96F10">
              <w:rPr>
                <w:rFonts w:asciiTheme="minorHAnsi" w:hAnsiTheme="minorHAnsi" w:cstheme="minorHAnsi"/>
              </w:rPr>
              <w:t>.1.2. Umowy lub dokona wypowiedzenia Umowy</w:t>
            </w:r>
            <w:r w:rsidR="00452A0A" w:rsidRPr="00D96F10">
              <w:rPr>
                <w:rFonts w:asciiTheme="minorHAnsi" w:hAnsiTheme="minorHAnsi" w:cstheme="minorHAnsi"/>
              </w:rPr>
              <w:t xml:space="preserve"> na zasadach określonych w Umowie</w:t>
            </w:r>
            <w:r w:rsidRPr="00D96F10">
              <w:rPr>
                <w:rFonts w:asciiTheme="minorHAnsi" w:hAnsiTheme="minorHAnsi" w:cstheme="minorHAnsi"/>
              </w:rPr>
              <w:t>.</w:t>
            </w:r>
          </w:p>
        </w:tc>
      </w:tr>
      <w:tr w:rsidR="00D96F10" w:rsidRPr="00D96F10" w14:paraId="0388C3E1" w14:textId="77777777" w:rsidTr="005C01FF">
        <w:tc>
          <w:tcPr>
            <w:tcW w:w="718" w:type="dxa"/>
            <w:vAlign w:val="center"/>
          </w:tcPr>
          <w:p w14:paraId="538AFC50" w14:textId="77777777" w:rsidR="0030779F" w:rsidRPr="00D96F10" w:rsidRDefault="00436B55" w:rsidP="00F838A6">
            <w:pPr>
              <w:spacing w:line="276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D96F10">
              <w:rPr>
                <w:rFonts w:asciiTheme="minorHAnsi" w:hAnsiTheme="minorHAnsi" w:cstheme="minorHAnsi"/>
                <w:bCs/>
                <w:lang w:eastAsia="ar-SA"/>
              </w:rPr>
              <w:lastRenderedPageBreak/>
              <w:t>1.3.4.</w:t>
            </w:r>
          </w:p>
        </w:tc>
        <w:tc>
          <w:tcPr>
            <w:tcW w:w="2947" w:type="dxa"/>
            <w:vAlign w:val="center"/>
          </w:tcPr>
          <w:p w14:paraId="15FE6AB2" w14:textId="77777777" w:rsidR="0030779F" w:rsidRPr="00D96F10" w:rsidRDefault="0030779F" w:rsidP="00F838A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96F10">
              <w:rPr>
                <w:rFonts w:asciiTheme="minorHAnsi" w:hAnsiTheme="minorHAnsi" w:cstheme="minorHAnsi"/>
              </w:rPr>
              <w:t>Ryzyka związane z uszkodzeniem zainstalowanych przez Partnera Prywatnego w Obiektach instalacji, systemów i urządzeń</w:t>
            </w:r>
            <w:bookmarkStart w:id="26" w:name="mip30431963"/>
            <w:bookmarkStart w:id="27" w:name="mip30431964"/>
            <w:bookmarkEnd w:id="26"/>
            <w:bookmarkEnd w:id="27"/>
          </w:p>
        </w:tc>
        <w:tc>
          <w:tcPr>
            <w:tcW w:w="6541" w:type="dxa"/>
          </w:tcPr>
          <w:p w14:paraId="5C4FFC23" w14:textId="77777777" w:rsidR="0030779F" w:rsidRPr="00D96F10" w:rsidRDefault="0030779F" w:rsidP="00F838A6">
            <w:pPr>
              <w:spacing w:before="120" w:after="120" w:line="276" w:lineRule="auto"/>
              <w:rPr>
                <w:rFonts w:asciiTheme="minorHAnsi" w:hAnsiTheme="minorHAnsi" w:cstheme="minorHAnsi"/>
                <w:spacing w:val="4"/>
                <w:lang w:eastAsia="en-US"/>
              </w:rPr>
            </w:pPr>
            <w:r w:rsidRPr="00D96F10">
              <w:rPr>
                <w:rFonts w:asciiTheme="minorHAnsi" w:hAnsiTheme="minorHAnsi" w:cstheme="minorHAnsi"/>
              </w:rPr>
              <w:t>W przypadku uszkodzenia zainstalowanych przez Partnera Prywatnego w Obiektach instalacji, systemów i urządzeń z przyczyn leżących po stronie Partnera Prywatnego, Partner Prywatny zobowiązany jest do przywrócenia ich sprawności na własny koszt w ramach Wynagrodzenia.</w:t>
            </w:r>
          </w:p>
        </w:tc>
      </w:tr>
      <w:tr w:rsidR="00D96F10" w:rsidRPr="00D96F10" w14:paraId="787770DD" w14:textId="77777777" w:rsidTr="005C01FF">
        <w:tc>
          <w:tcPr>
            <w:tcW w:w="718" w:type="dxa"/>
            <w:vAlign w:val="center"/>
          </w:tcPr>
          <w:p w14:paraId="30CF3733" w14:textId="77777777" w:rsidR="0071089E" w:rsidRPr="00D96F10" w:rsidRDefault="0071089E" w:rsidP="00F838A6">
            <w:pPr>
              <w:spacing w:line="276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D96F10">
              <w:rPr>
                <w:rFonts w:asciiTheme="minorHAnsi" w:hAnsiTheme="minorHAnsi" w:cstheme="minorHAnsi"/>
                <w:bCs/>
                <w:lang w:eastAsia="ar-SA"/>
              </w:rPr>
              <w:t>1.3.5.</w:t>
            </w:r>
          </w:p>
        </w:tc>
        <w:tc>
          <w:tcPr>
            <w:tcW w:w="2947" w:type="dxa"/>
            <w:vAlign w:val="center"/>
          </w:tcPr>
          <w:p w14:paraId="18857CAA" w14:textId="77777777" w:rsidR="0071089E" w:rsidRPr="00D96F10" w:rsidRDefault="0071089E" w:rsidP="00F838A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96F10">
              <w:rPr>
                <w:rFonts w:asciiTheme="minorHAnsi" w:hAnsiTheme="minorHAnsi" w:cstheme="minorHAnsi"/>
              </w:rPr>
              <w:t>Ryzyka związane z prowadzeniem uzgodnień z gestorami sieci</w:t>
            </w:r>
          </w:p>
        </w:tc>
        <w:tc>
          <w:tcPr>
            <w:tcW w:w="6541" w:type="dxa"/>
          </w:tcPr>
          <w:p w14:paraId="540C5721" w14:textId="77777777" w:rsidR="0071089E" w:rsidRPr="00D96F10" w:rsidRDefault="0071089E" w:rsidP="00F838A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F10">
              <w:rPr>
                <w:rFonts w:asciiTheme="minorHAnsi" w:hAnsiTheme="minorHAnsi" w:cstheme="minorHAnsi"/>
                <w:spacing w:val="4"/>
              </w:rPr>
              <w:t>Partner Prywatny zobowiązany jest do prowadzenia uzgodnień z gestorami sieci na Etapie Utrzymania umożliwiających realizację Etapu Utrzymania oraz do ponoszenia kosztów uzgodnień.</w:t>
            </w:r>
          </w:p>
        </w:tc>
      </w:tr>
      <w:tr w:rsidR="00D96F10" w:rsidRPr="00D96F10" w14:paraId="6C7E6F3B" w14:textId="77777777" w:rsidTr="00D96F10">
        <w:tc>
          <w:tcPr>
            <w:tcW w:w="718" w:type="dxa"/>
            <w:vAlign w:val="center"/>
          </w:tcPr>
          <w:p w14:paraId="3A6ACC27" w14:textId="038BC915" w:rsidR="005C01FF" w:rsidRPr="00D96F10" w:rsidRDefault="005C01FF" w:rsidP="00F838A6">
            <w:pPr>
              <w:spacing w:line="276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D96F10">
              <w:rPr>
                <w:rFonts w:asciiTheme="minorHAnsi" w:hAnsiTheme="minorHAnsi" w:cstheme="minorHAnsi"/>
                <w:spacing w:val="4"/>
              </w:rPr>
              <w:t>1.4.7.</w:t>
            </w:r>
          </w:p>
        </w:tc>
        <w:tc>
          <w:tcPr>
            <w:tcW w:w="2947" w:type="dxa"/>
            <w:vAlign w:val="center"/>
          </w:tcPr>
          <w:p w14:paraId="2E26BBA7" w14:textId="3D652106" w:rsidR="005C01FF" w:rsidRPr="00D96F10" w:rsidRDefault="005C01FF" w:rsidP="00F838A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96F10">
              <w:rPr>
                <w:rFonts w:asciiTheme="minorHAnsi" w:hAnsiTheme="minorHAnsi" w:cstheme="minorHAnsi"/>
              </w:rPr>
              <w:t>Akty Wandalizmu</w:t>
            </w:r>
          </w:p>
        </w:tc>
        <w:tc>
          <w:tcPr>
            <w:tcW w:w="6541" w:type="dxa"/>
            <w:vAlign w:val="center"/>
          </w:tcPr>
          <w:p w14:paraId="1EF9B416" w14:textId="76029DFA" w:rsidR="005C01FF" w:rsidRPr="00D96F10" w:rsidRDefault="005C01FF" w:rsidP="00F838A6">
            <w:pPr>
              <w:spacing w:before="120" w:after="120" w:line="276" w:lineRule="auto"/>
              <w:rPr>
                <w:rFonts w:asciiTheme="minorHAnsi" w:hAnsiTheme="minorHAnsi" w:cstheme="minorHAnsi"/>
                <w:spacing w:val="4"/>
              </w:rPr>
            </w:pPr>
            <w:r w:rsidRPr="00D96F10">
              <w:rPr>
                <w:rFonts w:asciiTheme="minorHAnsi" w:hAnsiTheme="minorHAnsi" w:cstheme="minorHAnsi"/>
              </w:rPr>
              <w:t xml:space="preserve">Szkody i koszty wynikające z Aktów Wandalizmu na Etapie Utrzymania zostaną według wyboru Podmiotu Publicznego zlikwidowane i poniesione przez Podmiot Publiczny lub zlikwidowane przez Partnera Prywatnego i poniesione przez Podmiot Publiczny. </w:t>
            </w:r>
          </w:p>
        </w:tc>
      </w:tr>
    </w:tbl>
    <w:p w14:paraId="23A5D047" w14:textId="77777777" w:rsidR="00D96F10" w:rsidRDefault="00D96F10" w:rsidP="00F838A6">
      <w:pPr>
        <w:spacing w:after="120" w:line="276" w:lineRule="auto"/>
        <w:outlineLvl w:val="1"/>
        <w:rPr>
          <w:rFonts w:asciiTheme="minorHAnsi" w:hAnsiTheme="minorHAnsi" w:cstheme="minorHAnsi"/>
          <w:b/>
          <w:bCs/>
          <w:lang w:eastAsia="ar-SA"/>
        </w:rPr>
      </w:pPr>
      <w:bookmarkStart w:id="28" w:name="mip30431965"/>
      <w:bookmarkStart w:id="29" w:name="mip30431966"/>
      <w:bookmarkStart w:id="30" w:name="_Toc501528672"/>
      <w:bookmarkEnd w:id="28"/>
      <w:bookmarkEnd w:id="29"/>
    </w:p>
    <w:p w14:paraId="20DF4939" w14:textId="77777777" w:rsidR="0030779F" w:rsidRPr="00D96F10" w:rsidRDefault="00436B55" w:rsidP="00F838A6">
      <w:pPr>
        <w:spacing w:after="120" w:line="276" w:lineRule="auto"/>
        <w:outlineLvl w:val="1"/>
        <w:rPr>
          <w:rFonts w:asciiTheme="minorHAnsi" w:hAnsiTheme="minorHAnsi" w:cstheme="minorHAnsi"/>
          <w:spacing w:val="4"/>
        </w:rPr>
      </w:pPr>
      <w:r w:rsidRPr="00D96F10">
        <w:rPr>
          <w:rFonts w:asciiTheme="minorHAnsi" w:hAnsiTheme="minorHAnsi" w:cstheme="minorHAnsi"/>
          <w:b/>
          <w:bCs/>
          <w:lang w:eastAsia="ar-SA"/>
        </w:rPr>
        <w:t xml:space="preserve">1.4. </w:t>
      </w:r>
      <w:r w:rsidR="0030779F" w:rsidRPr="00D96F10">
        <w:rPr>
          <w:rFonts w:asciiTheme="minorHAnsi" w:hAnsiTheme="minorHAnsi" w:cstheme="minorHAnsi"/>
          <w:b/>
          <w:bCs/>
          <w:lang w:eastAsia="ar-SA"/>
        </w:rPr>
        <w:t>Ryzyka dostępności i popytu ponoszone przez Podmiot Publiczny</w:t>
      </w:r>
      <w:bookmarkEnd w:id="30"/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2971"/>
        <w:gridCol w:w="6488"/>
      </w:tblGrid>
      <w:tr w:rsidR="00D96F10" w:rsidRPr="00D96F10" w14:paraId="3C08E7A6" w14:textId="77777777" w:rsidTr="00436B55">
        <w:tc>
          <w:tcPr>
            <w:tcW w:w="10206" w:type="dxa"/>
            <w:gridSpan w:val="3"/>
            <w:vAlign w:val="center"/>
          </w:tcPr>
          <w:p w14:paraId="3108DCBC" w14:textId="77777777" w:rsidR="0030779F" w:rsidRPr="00D96F10" w:rsidRDefault="00AF6DF2" w:rsidP="00F838A6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pacing w:val="4"/>
              </w:rPr>
            </w:pPr>
            <w:r w:rsidRPr="00D96F10">
              <w:rPr>
                <w:rFonts w:asciiTheme="minorHAnsi" w:hAnsiTheme="minorHAnsi" w:cstheme="minorHAnsi"/>
                <w:b/>
              </w:rPr>
              <w:t>Ryzyka dostępności i popytu ponoszone przez Podmiot Publiczny</w:t>
            </w:r>
          </w:p>
        </w:tc>
      </w:tr>
      <w:tr w:rsidR="00D96F10" w:rsidRPr="00D96F10" w14:paraId="3AF84A9D" w14:textId="77777777" w:rsidTr="00436B55">
        <w:tc>
          <w:tcPr>
            <w:tcW w:w="747" w:type="dxa"/>
            <w:vAlign w:val="center"/>
          </w:tcPr>
          <w:p w14:paraId="3CAB8C7E" w14:textId="77777777" w:rsidR="0030779F" w:rsidRPr="00D96F10" w:rsidRDefault="00AF6DF2" w:rsidP="00F838A6">
            <w:pPr>
              <w:spacing w:before="120" w:line="276" w:lineRule="auto"/>
              <w:rPr>
                <w:rFonts w:asciiTheme="minorHAnsi" w:hAnsiTheme="minorHAnsi" w:cstheme="minorHAnsi"/>
                <w:b/>
                <w:spacing w:val="4"/>
              </w:rPr>
            </w:pPr>
            <w:r w:rsidRPr="00D96F10">
              <w:rPr>
                <w:rFonts w:asciiTheme="minorHAnsi" w:hAnsiTheme="minorHAnsi" w:cstheme="minorHAnsi"/>
                <w:b/>
                <w:spacing w:val="4"/>
              </w:rPr>
              <w:t>Pkt</w:t>
            </w:r>
          </w:p>
        </w:tc>
        <w:tc>
          <w:tcPr>
            <w:tcW w:w="2971" w:type="dxa"/>
            <w:vAlign w:val="center"/>
          </w:tcPr>
          <w:p w14:paraId="1C3998AA" w14:textId="77777777" w:rsidR="0030779F" w:rsidRPr="00D96F10" w:rsidRDefault="00AF6DF2" w:rsidP="00F838A6">
            <w:pPr>
              <w:spacing w:before="120" w:line="276" w:lineRule="auto"/>
              <w:rPr>
                <w:rFonts w:asciiTheme="minorHAnsi" w:hAnsiTheme="minorHAnsi" w:cstheme="minorHAnsi"/>
                <w:b/>
                <w:spacing w:val="4"/>
              </w:rPr>
            </w:pPr>
            <w:r w:rsidRPr="00D96F10">
              <w:rPr>
                <w:rFonts w:asciiTheme="minorHAnsi" w:hAnsiTheme="minorHAnsi" w:cstheme="minorHAnsi"/>
                <w:b/>
              </w:rPr>
              <w:t>Kategoria ryzyka</w:t>
            </w:r>
          </w:p>
        </w:tc>
        <w:tc>
          <w:tcPr>
            <w:tcW w:w="6488" w:type="dxa"/>
            <w:vAlign w:val="center"/>
          </w:tcPr>
          <w:p w14:paraId="68A271E5" w14:textId="77777777" w:rsidR="0030779F" w:rsidRPr="00D96F10" w:rsidRDefault="00AF6DF2" w:rsidP="00F838A6">
            <w:pPr>
              <w:spacing w:before="120" w:line="276" w:lineRule="auto"/>
              <w:rPr>
                <w:rFonts w:asciiTheme="minorHAnsi" w:hAnsiTheme="minorHAnsi" w:cstheme="minorHAnsi"/>
                <w:b/>
                <w:spacing w:val="4"/>
              </w:rPr>
            </w:pPr>
            <w:r w:rsidRPr="00D96F10">
              <w:rPr>
                <w:rFonts w:asciiTheme="minorHAnsi" w:hAnsiTheme="minorHAnsi" w:cstheme="minorHAnsi"/>
                <w:b/>
                <w:spacing w:val="4"/>
              </w:rPr>
              <w:t>Opis ryzyka</w:t>
            </w:r>
          </w:p>
        </w:tc>
      </w:tr>
      <w:tr w:rsidR="00D96F10" w:rsidRPr="00D96F10" w14:paraId="5455E8BD" w14:textId="77777777" w:rsidTr="00436B55">
        <w:tc>
          <w:tcPr>
            <w:tcW w:w="747" w:type="dxa"/>
            <w:vAlign w:val="center"/>
          </w:tcPr>
          <w:p w14:paraId="62533C81" w14:textId="77777777" w:rsidR="00AF6DF2" w:rsidRPr="00D96F10" w:rsidRDefault="00436B55" w:rsidP="00F838A6">
            <w:pPr>
              <w:spacing w:line="276" w:lineRule="auto"/>
              <w:rPr>
                <w:rFonts w:asciiTheme="minorHAnsi" w:hAnsiTheme="minorHAnsi" w:cstheme="minorHAnsi"/>
                <w:spacing w:val="4"/>
              </w:rPr>
            </w:pPr>
            <w:r w:rsidRPr="00D96F10">
              <w:rPr>
                <w:rFonts w:asciiTheme="minorHAnsi" w:hAnsiTheme="minorHAnsi" w:cstheme="minorHAnsi"/>
                <w:spacing w:val="4"/>
              </w:rPr>
              <w:t>1.4.1</w:t>
            </w:r>
          </w:p>
        </w:tc>
        <w:tc>
          <w:tcPr>
            <w:tcW w:w="2971" w:type="dxa"/>
            <w:vAlign w:val="center"/>
          </w:tcPr>
          <w:p w14:paraId="2E45080A" w14:textId="77777777" w:rsidR="0030779F" w:rsidRPr="00D96F10" w:rsidRDefault="00AF6DF2" w:rsidP="00F838A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96F10">
              <w:rPr>
                <w:rFonts w:asciiTheme="minorHAnsi" w:hAnsiTheme="minorHAnsi" w:cstheme="minorHAnsi"/>
              </w:rPr>
              <w:t xml:space="preserve">Ryzyka związane ze zmianą stawek podatków, opłat, cen energii elektrycznej </w:t>
            </w:r>
          </w:p>
        </w:tc>
        <w:tc>
          <w:tcPr>
            <w:tcW w:w="6488" w:type="dxa"/>
            <w:vAlign w:val="center"/>
          </w:tcPr>
          <w:p w14:paraId="2952460B" w14:textId="77777777" w:rsidR="0030779F" w:rsidRPr="00D96F10" w:rsidRDefault="00AF6DF2" w:rsidP="00F838A6">
            <w:pPr>
              <w:spacing w:before="120" w:after="120" w:line="276" w:lineRule="auto"/>
              <w:rPr>
                <w:rFonts w:asciiTheme="minorHAnsi" w:hAnsiTheme="minorHAnsi" w:cstheme="minorHAnsi"/>
                <w:spacing w:val="4"/>
              </w:rPr>
            </w:pPr>
            <w:r w:rsidRPr="00D96F10">
              <w:rPr>
                <w:rFonts w:asciiTheme="minorHAnsi" w:hAnsiTheme="minorHAnsi" w:cstheme="minorHAnsi"/>
                <w:spacing w:val="4"/>
              </w:rPr>
              <w:t>Podmiot Publiczny będzie na Etapie Utrzymania płatnikiem podatków oraz opłat za</w:t>
            </w:r>
            <w:r w:rsidR="00436B55" w:rsidRPr="00D96F10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D96F10">
              <w:rPr>
                <w:rFonts w:asciiTheme="minorHAnsi" w:hAnsiTheme="minorHAnsi" w:cstheme="minorHAnsi"/>
                <w:spacing w:val="4"/>
              </w:rPr>
              <w:t xml:space="preserve">energię elektryczną przez cały okres Umowy. </w:t>
            </w:r>
          </w:p>
        </w:tc>
      </w:tr>
      <w:tr w:rsidR="00D96F10" w:rsidRPr="00D96F10" w14:paraId="640907D5" w14:textId="77777777" w:rsidTr="00436B55">
        <w:tc>
          <w:tcPr>
            <w:tcW w:w="747" w:type="dxa"/>
            <w:vAlign w:val="center"/>
          </w:tcPr>
          <w:p w14:paraId="3C22F060" w14:textId="6C21DA3E" w:rsidR="0030779F" w:rsidRPr="00D96F10" w:rsidRDefault="00436B55" w:rsidP="00F838A6">
            <w:pPr>
              <w:spacing w:line="276" w:lineRule="auto"/>
              <w:rPr>
                <w:rFonts w:asciiTheme="minorHAnsi" w:hAnsiTheme="minorHAnsi" w:cstheme="minorHAnsi"/>
                <w:spacing w:val="4"/>
              </w:rPr>
            </w:pPr>
            <w:r w:rsidRPr="00D96F10">
              <w:rPr>
                <w:rFonts w:asciiTheme="minorHAnsi" w:hAnsiTheme="minorHAnsi" w:cstheme="minorHAnsi"/>
                <w:spacing w:val="4"/>
              </w:rPr>
              <w:t>1.4.</w:t>
            </w:r>
            <w:r w:rsidR="00163D66" w:rsidRPr="00D96F10">
              <w:rPr>
                <w:rFonts w:asciiTheme="minorHAnsi" w:hAnsiTheme="minorHAnsi" w:cstheme="minorHAnsi"/>
                <w:spacing w:val="4"/>
              </w:rPr>
              <w:t>2</w:t>
            </w:r>
            <w:r w:rsidRPr="00D96F10">
              <w:rPr>
                <w:rFonts w:asciiTheme="minorHAnsi" w:hAnsiTheme="minorHAnsi" w:cstheme="minorHAnsi"/>
                <w:spacing w:val="4"/>
              </w:rPr>
              <w:t>.</w:t>
            </w:r>
          </w:p>
        </w:tc>
        <w:tc>
          <w:tcPr>
            <w:tcW w:w="2971" w:type="dxa"/>
            <w:vAlign w:val="center"/>
          </w:tcPr>
          <w:p w14:paraId="236C67D9" w14:textId="77777777" w:rsidR="0030779F" w:rsidRPr="00D96F10" w:rsidRDefault="00AF6DF2" w:rsidP="00F838A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96F10">
              <w:rPr>
                <w:rFonts w:asciiTheme="minorHAnsi" w:hAnsiTheme="minorHAnsi" w:cstheme="minorHAnsi"/>
              </w:rPr>
              <w:t>Ryzyka związane ze zmianą celów politycznych</w:t>
            </w:r>
          </w:p>
        </w:tc>
        <w:tc>
          <w:tcPr>
            <w:tcW w:w="6488" w:type="dxa"/>
            <w:vAlign w:val="center"/>
          </w:tcPr>
          <w:p w14:paraId="10D8B0F3" w14:textId="77777777" w:rsidR="0030779F" w:rsidRPr="00D96F10" w:rsidRDefault="00AF6DF2" w:rsidP="00F838A6">
            <w:pPr>
              <w:spacing w:before="120" w:after="120" w:line="276" w:lineRule="auto"/>
              <w:rPr>
                <w:rFonts w:asciiTheme="minorHAnsi" w:hAnsiTheme="minorHAnsi" w:cstheme="minorHAnsi"/>
                <w:spacing w:val="4"/>
              </w:rPr>
            </w:pPr>
            <w:r w:rsidRPr="00D96F10">
              <w:rPr>
                <w:rFonts w:asciiTheme="minorHAnsi" w:hAnsiTheme="minorHAnsi" w:cstheme="minorHAnsi"/>
                <w:spacing w:val="4"/>
              </w:rPr>
              <w:t xml:space="preserve">W przypadku zmiany celów politycznych Podmiotu Publicznego skutkujących zaprzestaniem realizacji Umowy lub </w:t>
            </w:r>
            <w:r w:rsidR="00B37A90" w:rsidRPr="00D96F10">
              <w:rPr>
                <w:rFonts w:asciiTheme="minorHAnsi" w:hAnsiTheme="minorHAnsi" w:cstheme="minorHAnsi"/>
                <w:spacing w:val="4"/>
              </w:rPr>
              <w:t>odstąpieniem od</w:t>
            </w:r>
            <w:r w:rsidRPr="00D96F10">
              <w:rPr>
                <w:rFonts w:asciiTheme="minorHAnsi" w:hAnsiTheme="minorHAnsi" w:cstheme="minorHAnsi"/>
                <w:spacing w:val="4"/>
              </w:rPr>
              <w:t xml:space="preserve"> Umowy na Etapie Utrzymania, Podmiot Publiczny zobowiązany będzie do zapłaty Partnerowi Prywatnemu Wynagrodzenia na zasadach określonych w Umowie dotyczących wcześniejszego zakończenia Umowy.</w:t>
            </w:r>
          </w:p>
        </w:tc>
      </w:tr>
      <w:tr w:rsidR="00D96F10" w:rsidRPr="00D96F10" w14:paraId="153EBA1E" w14:textId="77777777" w:rsidTr="00436B55">
        <w:tc>
          <w:tcPr>
            <w:tcW w:w="747" w:type="dxa"/>
            <w:vAlign w:val="center"/>
          </w:tcPr>
          <w:p w14:paraId="497E6100" w14:textId="471AD2EA" w:rsidR="0030779F" w:rsidRPr="00D96F10" w:rsidRDefault="00436B55" w:rsidP="00F838A6">
            <w:pPr>
              <w:spacing w:line="276" w:lineRule="auto"/>
              <w:rPr>
                <w:rFonts w:asciiTheme="minorHAnsi" w:hAnsiTheme="minorHAnsi" w:cstheme="minorHAnsi"/>
                <w:spacing w:val="4"/>
              </w:rPr>
            </w:pPr>
            <w:r w:rsidRPr="00D96F10">
              <w:rPr>
                <w:rFonts w:asciiTheme="minorHAnsi" w:hAnsiTheme="minorHAnsi" w:cstheme="minorHAnsi"/>
                <w:spacing w:val="4"/>
              </w:rPr>
              <w:t>1.4.</w:t>
            </w:r>
            <w:r w:rsidR="00163D66" w:rsidRPr="00D96F10">
              <w:rPr>
                <w:rFonts w:asciiTheme="minorHAnsi" w:hAnsiTheme="minorHAnsi" w:cstheme="minorHAnsi"/>
                <w:spacing w:val="4"/>
              </w:rPr>
              <w:t>3</w:t>
            </w:r>
            <w:r w:rsidRPr="00D96F10">
              <w:rPr>
                <w:rFonts w:asciiTheme="minorHAnsi" w:hAnsiTheme="minorHAnsi" w:cstheme="minorHAnsi"/>
                <w:spacing w:val="4"/>
              </w:rPr>
              <w:t>.</w:t>
            </w:r>
          </w:p>
        </w:tc>
        <w:tc>
          <w:tcPr>
            <w:tcW w:w="2971" w:type="dxa"/>
            <w:vAlign w:val="center"/>
          </w:tcPr>
          <w:p w14:paraId="105C290D" w14:textId="77777777" w:rsidR="0030779F" w:rsidRPr="00D96F10" w:rsidRDefault="00AF6DF2" w:rsidP="00F838A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96F10">
              <w:rPr>
                <w:rFonts w:asciiTheme="minorHAnsi" w:hAnsiTheme="minorHAnsi" w:cstheme="minorHAnsi"/>
              </w:rPr>
              <w:t xml:space="preserve">Ryzyka związane z </w:t>
            </w:r>
            <w:r w:rsidR="00882101" w:rsidRPr="00D96F10">
              <w:rPr>
                <w:rFonts w:asciiTheme="minorHAnsi" w:hAnsiTheme="minorHAnsi" w:cstheme="minorHAnsi"/>
              </w:rPr>
              <w:t>niewłaściwym u</w:t>
            </w:r>
            <w:r w:rsidRPr="00D96F10">
              <w:rPr>
                <w:rFonts w:asciiTheme="minorHAnsi" w:hAnsiTheme="minorHAnsi" w:cstheme="minorHAnsi"/>
              </w:rPr>
              <w:t>żytkowaniem Obiektów</w:t>
            </w:r>
          </w:p>
        </w:tc>
        <w:tc>
          <w:tcPr>
            <w:tcW w:w="6488" w:type="dxa"/>
            <w:vAlign w:val="center"/>
          </w:tcPr>
          <w:p w14:paraId="3A9F885A" w14:textId="77777777" w:rsidR="0030779F" w:rsidRPr="00D96F10" w:rsidRDefault="00AF6DF2" w:rsidP="00F838A6">
            <w:pPr>
              <w:spacing w:before="120" w:after="120" w:line="276" w:lineRule="auto"/>
              <w:rPr>
                <w:rFonts w:asciiTheme="minorHAnsi" w:hAnsiTheme="minorHAnsi" w:cstheme="minorHAnsi"/>
                <w:spacing w:val="4"/>
              </w:rPr>
            </w:pPr>
            <w:r w:rsidRPr="00D96F10">
              <w:rPr>
                <w:rFonts w:asciiTheme="minorHAnsi" w:hAnsiTheme="minorHAnsi" w:cstheme="minorHAnsi"/>
                <w:spacing w:val="4"/>
              </w:rPr>
              <w:t>Szk</w:t>
            </w:r>
            <w:r w:rsidR="00882101" w:rsidRPr="00D96F10">
              <w:rPr>
                <w:rFonts w:asciiTheme="minorHAnsi" w:hAnsiTheme="minorHAnsi" w:cstheme="minorHAnsi"/>
                <w:spacing w:val="4"/>
              </w:rPr>
              <w:t>ody i koszty wynikające z niewłaściwego u</w:t>
            </w:r>
            <w:r w:rsidRPr="00D96F10">
              <w:rPr>
                <w:rFonts w:asciiTheme="minorHAnsi" w:hAnsiTheme="minorHAnsi" w:cstheme="minorHAnsi"/>
                <w:spacing w:val="4"/>
              </w:rPr>
              <w:t>żytkowania Obiektów</w:t>
            </w:r>
            <w:r w:rsidR="00B37A90" w:rsidRPr="00D96F10">
              <w:rPr>
                <w:rFonts w:asciiTheme="minorHAnsi" w:hAnsiTheme="minorHAnsi" w:cstheme="minorHAnsi"/>
                <w:spacing w:val="4"/>
              </w:rPr>
              <w:t xml:space="preserve"> przez Podmiot Publiczny lub osoby trzecie</w:t>
            </w:r>
            <w:r w:rsidRPr="00D96F10">
              <w:rPr>
                <w:rFonts w:asciiTheme="minorHAnsi" w:hAnsiTheme="minorHAnsi" w:cstheme="minorHAnsi"/>
                <w:spacing w:val="4"/>
              </w:rPr>
              <w:t xml:space="preserve"> na Etapie Utrzymania zostaną według wyboru Podmiotu Publicznego zlikwidowane i poniesione przez Podmiot Publiczny lub zlikwidowane przez Partnera Prywatnego i poniesione przez Podmiot Publiczny </w:t>
            </w:r>
          </w:p>
        </w:tc>
      </w:tr>
      <w:tr w:rsidR="00D96F10" w:rsidRPr="00D96F10" w14:paraId="0527AA84" w14:textId="77777777" w:rsidTr="00436B55">
        <w:tc>
          <w:tcPr>
            <w:tcW w:w="747" w:type="dxa"/>
            <w:vAlign w:val="center"/>
          </w:tcPr>
          <w:p w14:paraId="2276C713" w14:textId="64EEF715" w:rsidR="0030779F" w:rsidRPr="00D96F10" w:rsidRDefault="00436B55" w:rsidP="00F838A6">
            <w:pPr>
              <w:spacing w:line="276" w:lineRule="auto"/>
              <w:rPr>
                <w:rFonts w:asciiTheme="minorHAnsi" w:hAnsiTheme="minorHAnsi" w:cstheme="minorHAnsi"/>
                <w:spacing w:val="4"/>
              </w:rPr>
            </w:pPr>
            <w:r w:rsidRPr="00D96F10">
              <w:rPr>
                <w:rFonts w:asciiTheme="minorHAnsi" w:hAnsiTheme="minorHAnsi" w:cstheme="minorHAnsi"/>
                <w:spacing w:val="4"/>
              </w:rPr>
              <w:t>1.4.</w:t>
            </w:r>
            <w:r w:rsidR="00163D66" w:rsidRPr="00D96F10">
              <w:rPr>
                <w:rFonts w:asciiTheme="minorHAnsi" w:hAnsiTheme="minorHAnsi" w:cstheme="minorHAnsi"/>
                <w:spacing w:val="4"/>
              </w:rPr>
              <w:t>4</w:t>
            </w:r>
            <w:r w:rsidRPr="00D96F10">
              <w:rPr>
                <w:rFonts w:asciiTheme="minorHAnsi" w:hAnsiTheme="minorHAnsi" w:cstheme="minorHAnsi"/>
                <w:spacing w:val="4"/>
              </w:rPr>
              <w:t>.</w:t>
            </w:r>
          </w:p>
        </w:tc>
        <w:tc>
          <w:tcPr>
            <w:tcW w:w="2971" w:type="dxa"/>
            <w:vAlign w:val="center"/>
          </w:tcPr>
          <w:p w14:paraId="41BFE3E4" w14:textId="77777777" w:rsidR="0030779F" w:rsidRPr="00D96F10" w:rsidRDefault="00AF6DF2" w:rsidP="00F838A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96F10">
              <w:rPr>
                <w:rFonts w:asciiTheme="minorHAnsi" w:hAnsiTheme="minorHAnsi" w:cstheme="minorHAnsi"/>
              </w:rPr>
              <w:t>Ryzyka związane z wystąpieniem Siły Wyższej</w:t>
            </w:r>
          </w:p>
        </w:tc>
        <w:tc>
          <w:tcPr>
            <w:tcW w:w="6488" w:type="dxa"/>
            <w:vAlign w:val="center"/>
          </w:tcPr>
          <w:p w14:paraId="7996804F" w14:textId="77777777" w:rsidR="004A3DEF" w:rsidRPr="00D96F10" w:rsidRDefault="004A3DEF" w:rsidP="00F838A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F10">
              <w:rPr>
                <w:rFonts w:asciiTheme="minorHAnsi" w:hAnsiTheme="minorHAnsi" w:cstheme="minorHAnsi"/>
              </w:rPr>
              <w:t>Siła wyższa rozumiana jest jako zdarzenie nagłe i nieprzewidywalne, którego skutkom Partner Prywatny nie mógł się przeciwstawić bądź którego skutkom przeciwstawienie się przez Partnera Prywatnego wiązałoby się z poniesieniem kosztów niewspółmiernych do kosztów ponoszonych w normalnym toku realizacji Przedsięwzięcia.</w:t>
            </w:r>
          </w:p>
          <w:p w14:paraId="1DC558C7" w14:textId="429F04E4" w:rsidR="004A3DEF" w:rsidRPr="00D96F10" w:rsidRDefault="004A3DEF" w:rsidP="00F838A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F10">
              <w:rPr>
                <w:rFonts w:asciiTheme="minorHAnsi" w:hAnsiTheme="minorHAnsi" w:cstheme="minorHAnsi"/>
              </w:rPr>
              <w:t xml:space="preserve">Ziszczenie się zdarzeń stanowiących Siłę Wyższą mającej wpływ na realizację Przedsięwzięcia na Etapie Utrzymania oraz powodującej </w:t>
            </w:r>
            <w:r w:rsidR="00F21687" w:rsidRPr="00D96F10">
              <w:rPr>
                <w:rFonts w:asciiTheme="minorHAnsi" w:hAnsiTheme="minorHAnsi" w:cstheme="minorHAnsi"/>
              </w:rPr>
              <w:t xml:space="preserve">w </w:t>
            </w:r>
            <w:r w:rsidRPr="00D96F10">
              <w:rPr>
                <w:rFonts w:asciiTheme="minorHAnsi" w:hAnsiTheme="minorHAnsi" w:cstheme="minorHAnsi"/>
              </w:rPr>
              <w:lastRenderedPageBreak/>
              <w:t>udokumentowany sposób bezpośredni wzrost kosztów jego realizacji przez Partnera Prywatnego stanowi Zdarzenie Nieprzewidywalne.</w:t>
            </w:r>
            <w:r w:rsidR="00163D66" w:rsidRPr="00D96F10">
              <w:rPr>
                <w:rFonts w:asciiTheme="minorHAnsi" w:hAnsiTheme="minorHAnsi" w:cstheme="minorHAnsi"/>
              </w:rPr>
              <w:t xml:space="preserve"> </w:t>
            </w:r>
          </w:p>
          <w:p w14:paraId="36EB8A5C" w14:textId="6632AD04" w:rsidR="0030779F" w:rsidRPr="00D96F10" w:rsidRDefault="00353623" w:rsidP="00F838A6">
            <w:pPr>
              <w:spacing w:before="120" w:after="120" w:line="276" w:lineRule="auto"/>
              <w:rPr>
                <w:rFonts w:asciiTheme="minorHAnsi" w:hAnsiTheme="minorHAnsi" w:cstheme="minorHAnsi"/>
                <w:spacing w:val="4"/>
              </w:rPr>
            </w:pPr>
            <w:r w:rsidRPr="00D96F10">
              <w:rPr>
                <w:rFonts w:asciiTheme="minorHAnsi" w:hAnsiTheme="minorHAnsi" w:cstheme="minorHAnsi"/>
              </w:rPr>
              <w:t>W takim przypadku, Partnerowi Prywatnemu przysługują uprawnienia określone w pkt 29.3. Umowy, z zastrzeżeniem, że w</w:t>
            </w:r>
            <w:r w:rsidR="00BD4803" w:rsidRPr="00D96F10">
              <w:rPr>
                <w:rFonts w:asciiTheme="minorHAnsi" w:hAnsiTheme="minorHAnsi" w:cstheme="minorHAnsi"/>
              </w:rPr>
              <w:t xml:space="preserve"> przypadku</w:t>
            </w:r>
            <w:r w:rsidRPr="00D96F10">
              <w:rPr>
                <w:rFonts w:asciiTheme="minorHAnsi" w:hAnsiTheme="minorHAnsi" w:cstheme="minorHAnsi"/>
              </w:rPr>
              <w:t xml:space="preserve"> żądania zwrotu Dodatkowych Kosztów</w:t>
            </w:r>
            <w:r w:rsidR="001B01EE" w:rsidRPr="00D96F10">
              <w:rPr>
                <w:rFonts w:asciiTheme="minorHAnsi" w:hAnsiTheme="minorHAnsi" w:cstheme="minorHAnsi"/>
              </w:rPr>
              <w:t xml:space="preserve"> lub zmiany Wynagrodzenia</w:t>
            </w:r>
            <w:r w:rsidR="00BD4803" w:rsidRPr="00D96F10">
              <w:rPr>
                <w:rFonts w:asciiTheme="minorHAnsi" w:hAnsiTheme="minorHAnsi" w:cstheme="minorHAnsi"/>
              </w:rPr>
              <w:t xml:space="preserve"> </w:t>
            </w:r>
            <w:r w:rsidR="001B01EE" w:rsidRPr="00D96F10">
              <w:rPr>
                <w:rFonts w:asciiTheme="minorHAnsi" w:hAnsiTheme="minorHAnsi" w:cstheme="minorHAnsi"/>
              </w:rPr>
              <w:t>wynikających z</w:t>
            </w:r>
            <w:r w:rsidR="00BD4803" w:rsidRPr="00D96F10">
              <w:rPr>
                <w:rFonts w:asciiTheme="minorHAnsi" w:hAnsiTheme="minorHAnsi" w:cstheme="minorHAnsi"/>
              </w:rPr>
              <w:t xml:space="preserve"> wystąpieniem Siły Wyższej, Partner Prywatny</w:t>
            </w:r>
            <w:r w:rsidR="001B01EE" w:rsidRPr="00D96F10">
              <w:rPr>
                <w:rFonts w:asciiTheme="minorHAnsi" w:hAnsiTheme="minorHAnsi" w:cstheme="minorHAnsi"/>
              </w:rPr>
              <w:t xml:space="preserve"> </w:t>
            </w:r>
            <w:r w:rsidR="00BD4803" w:rsidRPr="00D96F10">
              <w:rPr>
                <w:rFonts w:asciiTheme="minorHAnsi" w:hAnsiTheme="minorHAnsi" w:cstheme="minorHAnsi"/>
              </w:rPr>
              <w:t xml:space="preserve"> może </w:t>
            </w:r>
            <w:r w:rsidR="001B01EE" w:rsidRPr="00D96F10">
              <w:rPr>
                <w:rFonts w:asciiTheme="minorHAnsi" w:hAnsiTheme="minorHAnsi" w:cstheme="minorHAnsi"/>
              </w:rPr>
              <w:t xml:space="preserve">odpowiednio </w:t>
            </w:r>
            <w:r w:rsidR="00BD4803" w:rsidRPr="00D96F10">
              <w:rPr>
                <w:rFonts w:asciiTheme="minorHAnsi" w:hAnsiTheme="minorHAnsi" w:cstheme="minorHAnsi"/>
              </w:rPr>
              <w:t>żądać zwrotu maksymalnie 50% udokumentowanych Dodatkowych Kosztów</w:t>
            </w:r>
            <w:r w:rsidR="001B01EE" w:rsidRPr="00D96F10">
              <w:rPr>
                <w:rFonts w:asciiTheme="minorHAnsi" w:hAnsiTheme="minorHAnsi" w:cstheme="minorHAnsi"/>
              </w:rPr>
              <w:t xml:space="preserve"> lub zmiany Wynagrodzenia nieprzekraczającej 50% udokumentowanych Dodatkowych Kosztów. </w:t>
            </w:r>
          </w:p>
        </w:tc>
      </w:tr>
      <w:tr w:rsidR="00D96F10" w:rsidRPr="00D96F10" w14:paraId="670F1F1B" w14:textId="77777777" w:rsidTr="002275D5">
        <w:tc>
          <w:tcPr>
            <w:tcW w:w="10206" w:type="dxa"/>
            <w:gridSpan w:val="3"/>
            <w:vAlign w:val="center"/>
          </w:tcPr>
          <w:p w14:paraId="71B926B7" w14:textId="4A692286" w:rsidR="00163D66" w:rsidRPr="00D96F10" w:rsidRDefault="00163D66" w:rsidP="00F838A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D96F10">
              <w:rPr>
                <w:rFonts w:asciiTheme="minorHAnsi" w:hAnsiTheme="minorHAnsi" w:cstheme="minorHAnsi"/>
                <w:b/>
              </w:rPr>
              <w:lastRenderedPageBreak/>
              <w:t>Ryzyka dostępności ponoszone przez Podmiot Publiczny, które Partner Prywatny może przyjąć na siebie w ramach kryterium oceny ofert, zgodnie z oświadczeniem złożonym w Ofercie</w:t>
            </w:r>
          </w:p>
        </w:tc>
      </w:tr>
      <w:tr w:rsidR="00D96F10" w:rsidRPr="00D96F10" w14:paraId="29BDF8BE" w14:textId="77777777" w:rsidTr="00436B55">
        <w:tc>
          <w:tcPr>
            <w:tcW w:w="747" w:type="dxa"/>
            <w:vAlign w:val="center"/>
          </w:tcPr>
          <w:p w14:paraId="5DC53B2E" w14:textId="48F66EE6" w:rsidR="0030779F" w:rsidRPr="00D96F10" w:rsidRDefault="00436B55" w:rsidP="00F838A6">
            <w:pPr>
              <w:spacing w:line="276" w:lineRule="auto"/>
              <w:rPr>
                <w:rFonts w:asciiTheme="minorHAnsi" w:hAnsiTheme="minorHAnsi" w:cstheme="minorHAnsi"/>
                <w:spacing w:val="4"/>
              </w:rPr>
            </w:pPr>
            <w:r w:rsidRPr="00D96F10">
              <w:rPr>
                <w:rFonts w:asciiTheme="minorHAnsi" w:hAnsiTheme="minorHAnsi" w:cstheme="minorHAnsi"/>
                <w:spacing w:val="4"/>
              </w:rPr>
              <w:t>1.4.</w:t>
            </w:r>
            <w:r w:rsidR="00163D66" w:rsidRPr="00D96F10">
              <w:rPr>
                <w:rFonts w:asciiTheme="minorHAnsi" w:hAnsiTheme="minorHAnsi" w:cstheme="minorHAnsi"/>
                <w:spacing w:val="4"/>
              </w:rPr>
              <w:t>5</w:t>
            </w:r>
            <w:r w:rsidRPr="00D96F10">
              <w:rPr>
                <w:rFonts w:asciiTheme="minorHAnsi" w:hAnsiTheme="minorHAnsi" w:cstheme="minorHAnsi"/>
                <w:spacing w:val="4"/>
              </w:rPr>
              <w:t>.</w:t>
            </w:r>
          </w:p>
        </w:tc>
        <w:tc>
          <w:tcPr>
            <w:tcW w:w="2971" w:type="dxa"/>
            <w:vAlign w:val="center"/>
          </w:tcPr>
          <w:p w14:paraId="727C3A83" w14:textId="77777777" w:rsidR="0030779F" w:rsidRPr="00D96F10" w:rsidRDefault="00AF6DF2" w:rsidP="00F838A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96F10">
              <w:rPr>
                <w:rFonts w:asciiTheme="minorHAnsi" w:hAnsiTheme="minorHAnsi" w:cstheme="minorHAnsi"/>
              </w:rPr>
              <w:t xml:space="preserve">Ryzyka związane z wystąpieniem </w:t>
            </w:r>
            <w:r w:rsidR="00B80BE1" w:rsidRPr="00D96F10">
              <w:rPr>
                <w:rFonts w:asciiTheme="minorHAnsi" w:hAnsiTheme="minorHAnsi" w:cstheme="minorHAnsi"/>
              </w:rPr>
              <w:t>Zmian</w:t>
            </w:r>
            <w:r w:rsidRPr="00D96F10">
              <w:rPr>
                <w:rFonts w:asciiTheme="minorHAnsi" w:hAnsiTheme="minorHAnsi" w:cstheme="minorHAnsi"/>
              </w:rPr>
              <w:t xml:space="preserve"> Prawa mających wpływ na realizację Etapu Utrzymania z wyłączeniem przepisów obniżających normy technologiczne</w:t>
            </w:r>
          </w:p>
        </w:tc>
        <w:tc>
          <w:tcPr>
            <w:tcW w:w="6488" w:type="dxa"/>
            <w:vAlign w:val="center"/>
          </w:tcPr>
          <w:p w14:paraId="3E5E38EF" w14:textId="77777777" w:rsidR="0030779F" w:rsidRPr="00D96F10" w:rsidRDefault="004A3DEF" w:rsidP="00F838A6">
            <w:pPr>
              <w:spacing w:before="120" w:after="120" w:line="276" w:lineRule="auto"/>
              <w:rPr>
                <w:rFonts w:asciiTheme="minorHAnsi" w:hAnsiTheme="minorHAnsi" w:cstheme="minorHAnsi"/>
                <w:spacing w:val="4"/>
              </w:rPr>
            </w:pPr>
            <w:r w:rsidRPr="00D96F10">
              <w:rPr>
                <w:rFonts w:asciiTheme="minorHAnsi" w:hAnsiTheme="minorHAnsi" w:cstheme="minorHAnsi"/>
                <w:spacing w:val="4"/>
              </w:rPr>
              <w:t xml:space="preserve">W wypadku wystąpienia </w:t>
            </w:r>
            <w:r w:rsidR="00B80BE1" w:rsidRPr="00D96F10">
              <w:rPr>
                <w:rFonts w:asciiTheme="minorHAnsi" w:hAnsiTheme="minorHAnsi" w:cstheme="minorHAnsi"/>
                <w:spacing w:val="4"/>
              </w:rPr>
              <w:t>Z</w:t>
            </w:r>
            <w:r w:rsidRPr="00D96F10">
              <w:rPr>
                <w:rFonts w:asciiTheme="minorHAnsi" w:hAnsiTheme="minorHAnsi" w:cstheme="minorHAnsi"/>
                <w:spacing w:val="4"/>
              </w:rPr>
              <w:t xml:space="preserve">mian Prawa mających wpływ na realizację Przedsięwzięcia na Etapie Utrzymania (z wyłączeniem przepisów obniżających normy technologiczne) </w:t>
            </w:r>
            <w:r w:rsidR="00B3158E" w:rsidRPr="00D96F10">
              <w:rPr>
                <w:rFonts w:asciiTheme="minorHAnsi" w:hAnsiTheme="minorHAnsi" w:cstheme="minorHAnsi"/>
                <w:spacing w:val="4"/>
              </w:rPr>
              <w:t>Strony podejmą</w:t>
            </w:r>
            <w:r w:rsidRPr="00D96F10">
              <w:rPr>
                <w:rFonts w:asciiTheme="minorHAnsi" w:hAnsiTheme="minorHAnsi" w:cstheme="minorHAnsi"/>
                <w:spacing w:val="4"/>
              </w:rPr>
              <w:t xml:space="preserve"> procedurę określoną w pkt 29.2. Umowy. </w:t>
            </w:r>
          </w:p>
          <w:p w14:paraId="22DD9586" w14:textId="0A4A6407" w:rsidR="00163D66" w:rsidRPr="00D96F10" w:rsidRDefault="00163D66" w:rsidP="00F838A6">
            <w:pPr>
              <w:spacing w:before="120" w:after="120" w:line="276" w:lineRule="auto"/>
              <w:rPr>
                <w:rFonts w:asciiTheme="minorHAnsi" w:hAnsiTheme="minorHAnsi" w:cstheme="minorHAnsi"/>
                <w:spacing w:val="4"/>
              </w:rPr>
            </w:pPr>
            <w:r w:rsidRPr="00D96F10">
              <w:rPr>
                <w:rFonts w:asciiTheme="minorHAnsi" w:hAnsiTheme="minorHAnsi" w:cstheme="minorHAnsi"/>
              </w:rPr>
              <w:t>W przypadku przyjęcia ryzyka na siebie przez Partnera Prywatnego, prawo podjęcia procedury, o której mowa w pkt 29. 2 Umowy przysługuje Podmiotowi Publicznemu.</w:t>
            </w:r>
          </w:p>
        </w:tc>
      </w:tr>
      <w:tr w:rsidR="00D96F10" w:rsidRPr="00D96F10" w14:paraId="78E09CF9" w14:textId="77777777" w:rsidTr="00436B55">
        <w:tc>
          <w:tcPr>
            <w:tcW w:w="747" w:type="dxa"/>
            <w:vAlign w:val="center"/>
          </w:tcPr>
          <w:p w14:paraId="77FC5A4D" w14:textId="4AF0CBC7" w:rsidR="00163D66" w:rsidRPr="00D96F10" w:rsidRDefault="00163D66" w:rsidP="00F838A6">
            <w:pPr>
              <w:spacing w:line="276" w:lineRule="auto"/>
              <w:rPr>
                <w:rFonts w:asciiTheme="minorHAnsi" w:hAnsiTheme="minorHAnsi" w:cstheme="minorHAnsi"/>
                <w:spacing w:val="4"/>
              </w:rPr>
            </w:pPr>
            <w:r w:rsidRPr="00D96F10">
              <w:rPr>
                <w:rFonts w:asciiTheme="minorHAnsi" w:hAnsiTheme="minorHAnsi" w:cstheme="minorHAnsi"/>
                <w:spacing w:val="4"/>
              </w:rPr>
              <w:t>1.4.6.</w:t>
            </w:r>
          </w:p>
        </w:tc>
        <w:tc>
          <w:tcPr>
            <w:tcW w:w="2971" w:type="dxa"/>
            <w:vAlign w:val="center"/>
          </w:tcPr>
          <w:p w14:paraId="27212E8A" w14:textId="7B72C4AB" w:rsidR="00163D66" w:rsidRPr="00D96F10" w:rsidRDefault="00163D66" w:rsidP="00F838A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96F10">
              <w:rPr>
                <w:rFonts w:asciiTheme="minorHAnsi" w:hAnsiTheme="minorHAnsi" w:cstheme="minorHAnsi"/>
              </w:rPr>
              <w:t>Ryzyka związane z wystąpieniem zmian technologicznych</w:t>
            </w:r>
          </w:p>
        </w:tc>
        <w:tc>
          <w:tcPr>
            <w:tcW w:w="6488" w:type="dxa"/>
            <w:vAlign w:val="center"/>
          </w:tcPr>
          <w:p w14:paraId="62EC0987" w14:textId="77777777" w:rsidR="00163D66" w:rsidRPr="00D96F10" w:rsidRDefault="00163D66" w:rsidP="00F838A6">
            <w:pPr>
              <w:spacing w:before="120" w:after="120" w:line="276" w:lineRule="auto"/>
              <w:rPr>
                <w:rFonts w:asciiTheme="minorHAnsi" w:hAnsiTheme="minorHAnsi" w:cstheme="minorHAnsi"/>
                <w:spacing w:val="4"/>
              </w:rPr>
            </w:pPr>
            <w:r w:rsidRPr="00D96F10">
              <w:rPr>
                <w:rFonts w:asciiTheme="minorHAnsi" w:hAnsiTheme="minorHAnsi" w:cstheme="minorHAnsi"/>
                <w:spacing w:val="4"/>
              </w:rPr>
              <w:t xml:space="preserve">Konieczność dokonania zmian technologicznych niewynikających ze zmiany Prawa z przyczyn leżących po stronie Podmiotu Publicznego stanowi podstawę do dokonania zmiany Umowy </w:t>
            </w:r>
            <w:r w:rsidRPr="00D96F10">
              <w:rPr>
                <w:rFonts w:asciiTheme="minorHAnsi" w:hAnsiTheme="minorHAnsi" w:cstheme="minorHAnsi"/>
              </w:rPr>
              <w:t>w zakresie Wynagrodzenia, jeżeli zmiany te spowodują udokumentowany wzrost Kosztów po stronie Partnera Prywatnego</w:t>
            </w:r>
            <w:r w:rsidRPr="00D96F10">
              <w:rPr>
                <w:rFonts w:asciiTheme="minorHAnsi" w:hAnsiTheme="minorHAnsi" w:cstheme="minorHAnsi"/>
                <w:spacing w:val="4"/>
              </w:rPr>
              <w:t>.</w:t>
            </w:r>
          </w:p>
          <w:p w14:paraId="3F0333A2" w14:textId="7911C487" w:rsidR="00163D66" w:rsidRPr="00D96F10" w:rsidRDefault="00163D66" w:rsidP="00F838A6">
            <w:pPr>
              <w:spacing w:before="120" w:after="120" w:line="276" w:lineRule="auto"/>
              <w:rPr>
                <w:rFonts w:asciiTheme="minorHAnsi" w:hAnsiTheme="minorHAnsi" w:cstheme="minorHAnsi"/>
                <w:spacing w:val="4"/>
              </w:rPr>
            </w:pPr>
            <w:r w:rsidRPr="00D96F10">
              <w:rPr>
                <w:rFonts w:asciiTheme="minorHAnsi" w:hAnsiTheme="minorHAnsi" w:cstheme="minorHAnsi"/>
              </w:rPr>
              <w:t>W przypadku przyjęcia ryzyka na siebie przez Partnera Prywatnego, zmiana</w:t>
            </w:r>
            <w:r w:rsidRPr="00D96F10">
              <w:rPr>
                <w:rFonts w:asciiTheme="minorHAnsi" w:hAnsiTheme="minorHAnsi" w:cstheme="minorHAnsi"/>
                <w:spacing w:val="4"/>
              </w:rPr>
              <w:t xml:space="preserve"> Umowy </w:t>
            </w:r>
            <w:r w:rsidRPr="00D96F10">
              <w:rPr>
                <w:rFonts w:asciiTheme="minorHAnsi" w:hAnsiTheme="minorHAnsi" w:cstheme="minorHAnsi"/>
              </w:rPr>
              <w:t xml:space="preserve">w zakresie Wynagrodzenia, jeżeli zmiany te spowodują udokumentowany wzrost Kosztów po stronie Partnera Prywatnego, jest niemożliwa, chyba, że Podmiot Publiczny wyrazi na nią zgodę. </w:t>
            </w:r>
          </w:p>
        </w:tc>
      </w:tr>
    </w:tbl>
    <w:p w14:paraId="5BF2F577" w14:textId="77777777" w:rsidR="00AF6DF2" w:rsidRPr="00D96F10" w:rsidRDefault="00AF6DF2" w:rsidP="00F838A6">
      <w:pPr>
        <w:pStyle w:val="Akapitzlist"/>
        <w:ind w:left="792"/>
        <w:jc w:val="both"/>
        <w:rPr>
          <w:rFonts w:asciiTheme="minorHAnsi" w:hAnsiTheme="minorHAnsi" w:cstheme="minorHAnsi"/>
          <w:spacing w:val="4"/>
        </w:rPr>
      </w:pPr>
    </w:p>
    <w:p w14:paraId="12BFBD8F" w14:textId="598A5AD3" w:rsidR="00CE001C" w:rsidRPr="00D96F10" w:rsidRDefault="00CE001C" w:rsidP="00F838A6">
      <w:pPr>
        <w:pStyle w:val="Akapitzlist"/>
        <w:ind w:left="764"/>
        <w:jc w:val="both"/>
        <w:rPr>
          <w:rFonts w:asciiTheme="minorHAnsi" w:hAnsiTheme="minorHAnsi" w:cstheme="minorHAnsi"/>
        </w:rPr>
      </w:pPr>
    </w:p>
    <w:p w14:paraId="2BCB4877" w14:textId="30A7C1B7" w:rsidR="00B06B21" w:rsidRPr="00D96F10" w:rsidRDefault="00B06B21" w:rsidP="00F838A6">
      <w:pPr>
        <w:pStyle w:val="Akapitzlist"/>
        <w:ind w:left="764"/>
        <w:jc w:val="both"/>
        <w:rPr>
          <w:rFonts w:asciiTheme="minorHAnsi" w:hAnsiTheme="minorHAnsi" w:cstheme="minorHAnsi"/>
        </w:rPr>
      </w:pPr>
    </w:p>
    <w:p w14:paraId="2EBF6412" w14:textId="77777777" w:rsidR="00B06B21" w:rsidRPr="00D96F10" w:rsidRDefault="00B06B21" w:rsidP="00F838A6">
      <w:pPr>
        <w:pStyle w:val="Akapitzlist"/>
        <w:ind w:left="0"/>
        <w:jc w:val="both"/>
        <w:rPr>
          <w:rFonts w:asciiTheme="minorHAnsi" w:hAnsiTheme="minorHAnsi" w:cstheme="minorHAnsi"/>
        </w:rPr>
      </w:pPr>
    </w:p>
    <w:sectPr w:rsidR="00B06B21" w:rsidRPr="00D96F10" w:rsidSect="003C3CB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E38A8" w14:textId="77777777" w:rsidR="00F405B8" w:rsidRDefault="00F405B8" w:rsidP="007E59BD">
      <w:pPr>
        <w:spacing w:line="240" w:lineRule="auto"/>
      </w:pPr>
      <w:r>
        <w:separator/>
      </w:r>
    </w:p>
  </w:endnote>
  <w:endnote w:type="continuationSeparator" w:id="0">
    <w:p w14:paraId="5C5DA408" w14:textId="77777777" w:rsidR="00F405B8" w:rsidRDefault="00F405B8" w:rsidP="007E59BD">
      <w:pPr>
        <w:spacing w:line="240" w:lineRule="auto"/>
      </w:pPr>
      <w:r>
        <w:continuationSeparator/>
      </w:r>
    </w:p>
  </w:endnote>
  <w:endnote w:type="continuationNotice" w:id="1">
    <w:p w14:paraId="0BB08E04" w14:textId="77777777" w:rsidR="00F405B8" w:rsidRDefault="00F405B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epoloItcTEEBoo">
    <w:altName w:val="Corbel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4B252" w14:textId="77777777" w:rsidR="005D0746" w:rsidRPr="0055322F" w:rsidRDefault="00AF6DF2">
    <w:pPr>
      <w:pStyle w:val="Stopka"/>
      <w:jc w:val="right"/>
      <w:rPr>
        <w:rFonts w:ascii="Times New Roman" w:hAnsi="Times New Roman"/>
      </w:rPr>
    </w:pPr>
    <w:r w:rsidRPr="0055322F">
      <w:rPr>
        <w:rFonts w:ascii="Times New Roman" w:hAnsi="Times New Roman"/>
      </w:rPr>
      <w:fldChar w:fldCharType="begin"/>
    </w:r>
    <w:r w:rsidR="005D0746" w:rsidRPr="0055322F">
      <w:rPr>
        <w:rFonts w:ascii="Times New Roman" w:hAnsi="Times New Roman"/>
      </w:rPr>
      <w:instrText xml:space="preserve"> PAGE   \* MERGEFORMAT </w:instrText>
    </w:r>
    <w:r w:rsidRPr="0055322F">
      <w:rPr>
        <w:rFonts w:ascii="Times New Roman" w:hAnsi="Times New Roman"/>
      </w:rPr>
      <w:fldChar w:fldCharType="separate"/>
    </w:r>
    <w:r w:rsidR="005539FE">
      <w:rPr>
        <w:rFonts w:ascii="Times New Roman" w:hAnsi="Times New Roman"/>
        <w:noProof/>
      </w:rPr>
      <w:t>1</w:t>
    </w:r>
    <w:r w:rsidRPr="0055322F">
      <w:rPr>
        <w:rFonts w:ascii="Times New Roman" w:hAnsi="Times New Roman"/>
      </w:rPr>
      <w:fldChar w:fldCharType="end"/>
    </w:r>
  </w:p>
  <w:p w14:paraId="1229C9BC" w14:textId="77777777" w:rsidR="005D0746" w:rsidRDefault="005D07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AA922" w14:textId="77777777" w:rsidR="00F405B8" w:rsidRDefault="00F405B8" w:rsidP="007E59BD">
      <w:pPr>
        <w:spacing w:line="240" w:lineRule="auto"/>
      </w:pPr>
      <w:r>
        <w:separator/>
      </w:r>
    </w:p>
  </w:footnote>
  <w:footnote w:type="continuationSeparator" w:id="0">
    <w:p w14:paraId="7B2108CF" w14:textId="77777777" w:rsidR="00F405B8" w:rsidRDefault="00F405B8" w:rsidP="007E59BD">
      <w:pPr>
        <w:spacing w:line="240" w:lineRule="auto"/>
      </w:pPr>
      <w:r>
        <w:continuationSeparator/>
      </w:r>
    </w:p>
  </w:footnote>
  <w:footnote w:type="continuationNotice" w:id="1">
    <w:p w14:paraId="0BAF2E95" w14:textId="77777777" w:rsidR="00F405B8" w:rsidRDefault="00F405B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8B574" w14:textId="77777777" w:rsidR="005D0746" w:rsidRDefault="005D07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9.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lang w:eastAsia="en-US"/>
      </w:rPr>
    </w:lvl>
  </w:abstractNum>
  <w:abstractNum w:abstractNumId="1" w15:restartNumberingAfterBreak="0">
    <w:nsid w:val="002B2145"/>
    <w:multiLevelType w:val="hybridMultilevel"/>
    <w:tmpl w:val="DD8AAC94"/>
    <w:lvl w:ilvl="0" w:tplc="BBC2966A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0FE3BF5"/>
    <w:multiLevelType w:val="multilevel"/>
    <w:tmpl w:val="17325D98"/>
    <w:lvl w:ilvl="0">
      <w:start w:val="1"/>
      <w:numFmt w:val="decimal"/>
      <w:lvlText w:val="(%1)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1745FC7"/>
    <w:multiLevelType w:val="hybridMultilevel"/>
    <w:tmpl w:val="4B8E15B6"/>
    <w:lvl w:ilvl="0" w:tplc="6A942B7E">
      <w:start w:val="1"/>
      <w:numFmt w:val="decimal"/>
      <w:lvlText w:val="%1."/>
      <w:lvlJc w:val="left"/>
      <w:pPr>
        <w:tabs>
          <w:tab w:val="num" w:pos="471"/>
        </w:tabs>
        <w:ind w:left="47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2193182"/>
    <w:multiLevelType w:val="multilevel"/>
    <w:tmpl w:val="215AF1E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5" w15:restartNumberingAfterBreak="0">
    <w:nsid w:val="027F03EF"/>
    <w:multiLevelType w:val="multilevel"/>
    <w:tmpl w:val="84CE3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30E57C8"/>
    <w:multiLevelType w:val="multilevel"/>
    <w:tmpl w:val="1F5462B0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5485870"/>
    <w:multiLevelType w:val="hybridMultilevel"/>
    <w:tmpl w:val="F034A44A"/>
    <w:lvl w:ilvl="0" w:tplc="241E14E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687065A"/>
    <w:multiLevelType w:val="hybridMultilevel"/>
    <w:tmpl w:val="1206F784"/>
    <w:lvl w:ilvl="0" w:tplc="D828146A">
      <w:start w:val="1"/>
      <w:numFmt w:val="bullet"/>
      <w:lvlText w:val=""/>
      <w:lvlJc w:val="left"/>
      <w:pPr>
        <w:ind w:left="1494" w:hanging="360"/>
      </w:pPr>
      <w:rPr>
        <w:rFonts w:ascii="MS Mincho" w:hAnsi="MS Mincho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Tahoma" w:hAnsi="Tahoma" w:cs="Tahoma" w:hint="default"/>
      </w:rPr>
    </w:lvl>
    <w:lvl w:ilvl="2" w:tplc="04150005" w:tentative="1">
      <w:start w:val="1"/>
      <w:numFmt w:val="bullet"/>
      <w:pStyle w:val="CMSHeadL3"/>
      <w:lvlText w:val=""/>
      <w:lvlJc w:val="left"/>
      <w:pPr>
        <w:ind w:left="2934" w:hanging="360"/>
      </w:pPr>
      <w:rPr>
        <w:rFonts w:ascii="Verdana" w:hAnsi="Verdana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MS Mincho" w:hAnsi="MS Mincho" w:hint="default"/>
      </w:rPr>
    </w:lvl>
    <w:lvl w:ilvl="4" w:tplc="04150003">
      <w:start w:val="1"/>
      <w:numFmt w:val="bullet"/>
      <w:pStyle w:val="CMSHeadL5"/>
      <w:lvlText w:val="o"/>
      <w:lvlJc w:val="left"/>
      <w:pPr>
        <w:ind w:left="4374" w:hanging="360"/>
      </w:pPr>
      <w:rPr>
        <w:rFonts w:ascii="Tahoma" w:hAnsi="Tahoma" w:cs="Tahoma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Verdana" w:hAnsi="Verdana" w:hint="default"/>
      </w:rPr>
    </w:lvl>
    <w:lvl w:ilvl="6" w:tplc="04150001" w:tentative="1">
      <w:start w:val="1"/>
      <w:numFmt w:val="bullet"/>
      <w:pStyle w:val="CMSHeadL7"/>
      <w:lvlText w:val=""/>
      <w:lvlJc w:val="left"/>
      <w:pPr>
        <w:ind w:left="5814" w:hanging="360"/>
      </w:pPr>
      <w:rPr>
        <w:rFonts w:ascii="MS Mincho" w:hAnsi="MS Mincho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Tahoma" w:hAnsi="Tahoma" w:cs="Tahoma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Verdana" w:hAnsi="Verdana" w:hint="default"/>
      </w:rPr>
    </w:lvl>
  </w:abstractNum>
  <w:abstractNum w:abstractNumId="9" w15:restartNumberingAfterBreak="0">
    <w:nsid w:val="079932B2"/>
    <w:multiLevelType w:val="hybridMultilevel"/>
    <w:tmpl w:val="18A4B58A"/>
    <w:lvl w:ilvl="0" w:tplc="6A942B7E">
      <w:start w:val="1"/>
      <w:numFmt w:val="decimal"/>
      <w:lvlText w:val="%1."/>
      <w:lvlJc w:val="left"/>
      <w:pPr>
        <w:tabs>
          <w:tab w:val="num" w:pos="471"/>
        </w:tabs>
        <w:ind w:left="47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8F00B98"/>
    <w:multiLevelType w:val="hybridMultilevel"/>
    <w:tmpl w:val="DECAAB1C"/>
    <w:lvl w:ilvl="0" w:tplc="C270D0E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9B63ED9"/>
    <w:multiLevelType w:val="multilevel"/>
    <w:tmpl w:val="4192D64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D3F6EF4"/>
    <w:multiLevelType w:val="hybridMultilevel"/>
    <w:tmpl w:val="E280CE7C"/>
    <w:lvl w:ilvl="0" w:tplc="6A942B7E">
      <w:start w:val="1"/>
      <w:numFmt w:val="decimal"/>
      <w:lvlText w:val="%1."/>
      <w:lvlJc w:val="left"/>
      <w:pPr>
        <w:tabs>
          <w:tab w:val="num" w:pos="471"/>
        </w:tabs>
        <w:ind w:left="4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DB17583"/>
    <w:multiLevelType w:val="multilevel"/>
    <w:tmpl w:val="5BEA8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88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0F0200C6"/>
    <w:multiLevelType w:val="hybridMultilevel"/>
    <w:tmpl w:val="18C22488"/>
    <w:lvl w:ilvl="0" w:tplc="A6B849FE">
      <w:start w:val="1"/>
      <w:numFmt w:val="decimal"/>
      <w:lvlText w:val="%1"/>
      <w:lvlJc w:val="left"/>
      <w:pPr>
        <w:ind w:left="1260" w:hanging="9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B2FE0"/>
    <w:multiLevelType w:val="hybridMultilevel"/>
    <w:tmpl w:val="D90E7E14"/>
    <w:lvl w:ilvl="0" w:tplc="B34E31AC">
      <w:start w:val="1"/>
      <w:numFmt w:val="decimal"/>
      <w:lvlText w:val="%1."/>
      <w:lvlJc w:val="left"/>
      <w:pPr>
        <w:tabs>
          <w:tab w:val="num" w:pos="471"/>
        </w:tabs>
        <w:ind w:left="47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13A938E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0D57553"/>
    <w:multiLevelType w:val="hybridMultilevel"/>
    <w:tmpl w:val="6818F53C"/>
    <w:lvl w:ilvl="0" w:tplc="93F212FE">
      <w:start w:val="1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 w15:restartNumberingAfterBreak="0">
    <w:nsid w:val="10DA1CC9"/>
    <w:multiLevelType w:val="hybridMultilevel"/>
    <w:tmpl w:val="10A013E0"/>
    <w:lvl w:ilvl="0" w:tplc="6A942B7E">
      <w:start w:val="1"/>
      <w:numFmt w:val="decimal"/>
      <w:lvlText w:val="%1."/>
      <w:lvlJc w:val="left"/>
      <w:pPr>
        <w:tabs>
          <w:tab w:val="num" w:pos="471"/>
        </w:tabs>
        <w:ind w:left="47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0FE1D4A"/>
    <w:multiLevelType w:val="hybridMultilevel"/>
    <w:tmpl w:val="CA2696D0"/>
    <w:lvl w:ilvl="0" w:tplc="3B9A1364">
      <w:start w:val="1"/>
      <w:numFmt w:val="decimal"/>
      <w:lvlText w:val="10.3.%1."/>
      <w:lvlJc w:val="left"/>
      <w:pPr>
        <w:ind w:left="31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8556C8E0">
      <w:start w:val="1"/>
      <w:numFmt w:val="decimal"/>
      <w:lvlText w:val="10.3.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482F50"/>
    <w:multiLevelType w:val="hybridMultilevel"/>
    <w:tmpl w:val="B824C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5A4C86"/>
    <w:multiLevelType w:val="hybridMultilevel"/>
    <w:tmpl w:val="7DF21814"/>
    <w:lvl w:ilvl="0" w:tplc="6A942B7E">
      <w:start w:val="1"/>
      <w:numFmt w:val="decimal"/>
      <w:lvlText w:val="%1."/>
      <w:lvlJc w:val="left"/>
      <w:pPr>
        <w:tabs>
          <w:tab w:val="num" w:pos="471"/>
        </w:tabs>
        <w:ind w:left="47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9C96CF0"/>
    <w:multiLevelType w:val="multilevel"/>
    <w:tmpl w:val="C55E3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F2D471F"/>
    <w:multiLevelType w:val="multilevel"/>
    <w:tmpl w:val="5B10F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22B52B20"/>
    <w:multiLevelType w:val="hybridMultilevel"/>
    <w:tmpl w:val="397A7F36"/>
    <w:lvl w:ilvl="0" w:tplc="1996E324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  <w:sz w:val="24"/>
        <w:szCs w:val="24"/>
      </w:rPr>
    </w:lvl>
    <w:lvl w:ilvl="1" w:tplc="9FE6D71A" w:tentative="1">
      <w:start w:val="1"/>
      <w:numFmt w:val="lowerLetter"/>
      <w:lvlText w:val="%2."/>
      <w:lvlJc w:val="left"/>
      <w:pPr>
        <w:ind w:left="1440" w:hanging="360"/>
      </w:pPr>
    </w:lvl>
    <w:lvl w:ilvl="2" w:tplc="A9E2DC4A" w:tentative="1">
      <w:start w:val="1"/>
      <w:numFmt w:val="lowerRoman"/>
      <w:lvlText w:val="%3."/>
      <w:lvlJc w:val="right"/>
      <w:pPr>
        <w:ind w:left="2160" w:hanging="180"/>
      </w:pPr>
    </w:lvl>
    <w:lvl w:ilvl="3" w:tplc="A39C3A60" w:tentative="1">
      <w:start w:val="1"/>
      <w:numFmt w:val="decimal"/>
      <w:lvlText w:val="%4."/>
      <w:lvlJc w:val="left"/>
      <w:pPr>
        <w:ind w:left="2880" w:hanging="360"/>
      </w:pPr>
    </w:lvl>
    <w:lvl w:ilvl="4" w:tplc="CA8613C0" w:tentative="1">
      <w:start w:val="1"/>
      <w:numFmt w:val="lowerLetter"/>
      <w:lvlText w:val="%5."/>
      <w:lvlJc w:val="left"/>
      <w:pPr>
        <w:ind w:left="3600" w:hanging="360"/>
      </w:pPr>
    </w:lvl>
    <w:lvl w:ilvl="5" w:tplc="243ECFF6" w:tentative="1">
      <w:start w:val="1"/>
      <w:numFmt w:val="lowerRoman"/>
      <w:lvlText w:val="%6."/>
      <w:lvlJc w:val="right"/>
      <w:pPr>
        <w:ind w:left="4320" w:hanging="180"/>
      </w:pPr>
    </w:lvl>
    <w:lvl w:ilvl="6" w:tplc="BF14E268" w:tentative="1">
      <w:start w:val="1"/>
      <w:numFmt w:val="decimal"/>
      <w:lvlText w:val="%7."/>
      <w:lvlJc w:val="left"/>
      <w:pPr>
        <w:ind w:left="5040" w:hanging="360"/>
      </w:pPr>
    </w:lvl>
    <w:lvl w:ilvl="7" w:tplc="64F6C718" w:tentative="1">
      <w:start w:val="1"/>
      <w:numFmt w:val="lowerLetter"/>
      <w:lvlText w:val="%8."/>
      <w:lvlJc w:val="left"/>
      <w:pPr>
        <w:ind w:left="5760" w:hanging="360"/>
      </w:pPr>
    </w:lvl>
    <w:lvl w:ilvl="8" w:tplc="56F42F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012026"/>
    <w:multiLevelType w:val="multilevel"/>
    <w:tmpl w:val="7D72E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23095A97"/>
    <w:multiLevelType w:val="hybridMultilevel"/>
    <w:tmpl w:val="906E44B6"/>
    <w:lvl w:ilvl="0" w:tplc="B7269E96">
      <w:start w:val="1"/>
      <w:numFmt w:val="decimal"/>
      <w:lvlText w:val="%1)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6" w15:restartNumberingAfterBreak="0">
    <w:nsid w:val="23467298"/>
    <w:multiLevelType w:val="hybridMultilevel"/>
    <w:tmpl w:val="DA9AC2E6"/>
    <w:lvl w:ilvl="0" w:tplc="7D360D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7B15D1A"/>
    <w:multiLevelType w:val="hybridMultilevel"/>
    <w:tmpl w:val="EF3EC45E"/>
    <w:lvl w:ilvl="0" w:tplc="04150011">
      <w:start w:val="1"/>
      <w:numFmt w:val="decimal"/>
      <w:lvlText w:val="%1)"/>
      <w:lvlJc w:val="left"/>
      <w:pPr>
        <w:tabs>
          <w:tab w:val="num" w:pos="471"/>
        </w:tabs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87834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90A1D9C"/>
    <w:multiLevelType w:val="hybridMultilevel"/>
    <w:tmpl w:val="70AAAF0A"/>
    <w:lvl w:ilvl="0" w:tplc="5B88D69A">
      <w:start w:val="1"/>
      <w:numFmt w:val="decimal"/>
      <w:lvlText w:val="%1)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30" w15:restartNumberingAfterBreak="0">
    <w:nsid w:val="2A7F753D"/>
    <w:multiLevelType w:val="hybridMultilevel"/>
    <w:tmpl w:val="0172C398"/>
    <w:lvl w:ilvl="0" w:tplc="04150011">
      <w:start w:val="1"/>
      <w:numFmt w:val="decimal"/>
      <w:lvlText w:val="%1."/>
      <w:lvlJc w:val="left"/>
      <w:pPr>
        <w:tabs>
          <w:tab w:val="num" w:pos="471"/>
        </w:tabs>
        <w:ind w:left="47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2B5649B3"/>
    <w:multiLevelType w:val="multilevel"/>
    <w:tmpl w:val="3C8E6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2B691299"/>
    <w:multiLevelType w:val="multilevel"/>
    <w:tmpl w:val="E564EDA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</w:rPr>
    </w:lvl>
  </w:abstractNum>
  <w:abstractNum w:abstractNumId="33" w15:restartNumberingAfterBreak="0">
    <w:nsid w:val="2BA81964"/>
    <w:multiLevelType w:val="hybridMultilevel"/>
    <w:tmpl w:val="18BADA48"/>
    <w:lvl w:ilvl="0" w:tplc="6A942B7E">
      <w:start w:val="1"/>
      <w:numFmt w:val="decimal"/>
      <w:lvlText w:val="%1."/>
      <w:lvlJc w:val="left"/>
      <w:pPr>
        <w:tabs>
          <w:tab w:val="num" w:pos="471"/>
        </w:tabs>
        <w:ind w:left="47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2BD65CD6"/>
    <w:multiLevelType w:val="hybridMultilevel"/>
    <w:tmpl w:val="DD8AAC94"/>
    <w:lvl w:ilvl="0" w:tplc="68560C38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2C795D2E"/>
    <w:multiLevelType w:val="hybridMultilevel"/>
    <w:tmpl w:val="BFAE28D2"/>
    <w:lvl w:ilvl="0" w:tplc="04150011">
      <w:start w:val="1"/>
      <w:numFmt w:val="decimal"/>
      <w:lvlText w:val="%1)"/>
      <w:lvlJc w:val="left"/>
      <w:pPr>
        <w:tabs>
          <w:tab w:val="num" w:pos="831"/>
        </w:tabs>
        <w:ind w:left="83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2DBC5370"/>
    <w:multiLevelType w:val="hybridMultilevel"/>
    <w:tmpl w:val="672A1AF6"/>
    <w:lvl w:ilvl="0" w:tplc="4F807B30">
      <w:start w:val="1"/>
      <w:numFmt w:val="decimal"/>
      <w:lvlText w:val="7.7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7" w15:restartNumberingAfterBreak="0">
    <w:nsid w:val="2E093A1A"/>
    <w:multiLevelType w:val="hybridMultilevel"/>
    <w:tmpl w:val="6A3AA556"/>
    <w:lvl w:ilvl="0" w:tplc="D698418C">
      <w:start w:val="1"/>
      <w:numFmt w:val="decimal"/>
      <w:lvlText w:val="%1.1.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8" w15:restartNumberingAfterBreak="0">
    <w:nsid w:val="2E250698"/>
    <w:multiLevelType w:val="hybridMultilevel"/>
    <w:tmpl w:val="95C413E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2FBB651A"/>
    <w:multiLevelType w:val="multilevel"/>
    <w:tmpl w:val="E762549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0" w15:restartNumberingAfterBreak="0">
    <w:nsid w:val="2FC600FE"/>
    <w:multiLevelType w:val="multilevel"/>
    <w:tmpl w:val="C55E3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307401BA"/>
    <w:multiLevelType w:val="multilevel"/>
    <w:tmpl w:val="E7F2F7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320115E8"/>
    <w:multiLevelType w:val="hybridMultilevel"/>
    <w:tmpl w:val="9D1CE3DC"/>
    <w:lvl w:ilvl="0" w:tplc="4F807B30">
      <w:start w:val="1"/>
      <w:numFmt w:val="decimal"/>
      <w:lvlText w:val="7.7.%1."/>
      <w:lvlJc w:val="left"/>
      <w:pPr>
        <w:ind w:left="1440" w:hanging="360"/>
      </w:pPr>
      <w:rPr>
        <w:rFonts w:hint="default"/>
      </w:rPr>
    </w:lvl>
    <w:lvl w:ilvl="1" w:tplc="C9429EF4">
      <w:start w:val="1"/>
      <w:numFmt w:val="decimal"/>
      <w:lvlText w:val="7.7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843E08"/>
    <w:multiLevelType w:val="multilevel"/>
    <w:tmpl w:val="5A38777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002B9D"/>
    <w:multiLevelType w:val="hybridMultilevel"/>
    <w:tmpl w:val="A19C66AC"/>
    <w:lvl w:ilvl="0" w:tplc="4204E2D6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ascii="Verdana" w:hAnsi="Verdan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1A0877"/>
    <w:multiLevelType w:val="hybridMultilevel"/>
    <w:tmpl w:val="C1128456"/>
    <w:lvl w:ilvl="0" w:tplc="6A942B7E">
      <w:start w:val="1"/>
      <w:numFmt w:val="decimal"/>
      <w:lvlText w:val="%1."/>
      <w:lvlJc w:val="left"/>
      <w:pPr>
        <w:tabs>
          <w:tab w:val="num" w:pos="471"/>
        </w:tabs>
        <w:ind w:left="47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34B957A0"/>
    <w:multiLevelType w:val="hybridMultilevel"/>
    <w:tmpl w:val="12D25CAA"/>
    <w:lvl w:ilvl="0" w:tplc="47C4798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38042D5A"/>
    <w:multiLevelType w:val="hybridMultilevel"/>
    <w:tmpl w:val="FE20C49E"/>
    <w:lvl w:ilvl="0" w:tplc="667C3058">
      <w:start w:val="1"/>
      <w:numFmt w:val="decimal"/>
      <w:lvlText w:val="%1)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48" w15:restartNumberingAfterBreak="0">
    <w:nsid w:val="39EB24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B0A3BF1"/>
    <w:multiLevelType w:val="hybridMultilevel"/>
    <w:tmpl w:val="92C2ADAA"/>
    <w:lvl w:ilvl="0" w:tplc="B428D62E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B0F7911"/>
    <w:multiLevelType w:val="multilevel"/>
    <w:tmpl w:val="C55E3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3B3C381B"/>
    <w:multiLevelType w:val="multilevel"/>
    <w:tmpl w:val="57AA77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B6D77CB"/>
    <w:multiLevelType w:val="hybridMultilevel"/>
    <w:tmpl w:val="CA64E2B8"/>
    <w:lvl w:ilvl="0" w:tplc="7160DC6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3BF2606A"/>
    <w:multiLevelType w:val="hybridMultilevel"/>
    <w:tmpl w:val="55E6D4D6"/>
    <w:lvl w:ilvl="0" w:tplc="6A942B7E">
      <w:start w:val="1"/>
      <w:numFmt w:val="decimal"/>
      <w:lvlText w:val="%1."/>
      <w:lvlJc w:val="left"/>
      <w:pPr>
        <w:tabs>
          <w:tab w:val="num" w:pos="471"/>
        </w:tabs>
        <w:ind w:left="47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4A1DCA">
      <w:start w:val="1"/>
      <w:numFmt w:val="decimal"/>
      <w:lvlText w:val="%3)"/>
      <w:lvlJc w:val="left"/>
      <w:pPr>
        <w:tabs>
          <w:tab w:val="num" w:pos="1598"/>
        </w:tabs>
        <w:ind w:left="1598" w:hanging="180"/>
      </w:pPr>
      <w:rPr>
        <w:rFonts w:ascii="Verdana" w:hAnsi="Verdana" w:cs="Times New Roman" w:hint="default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3C2B0A46"/>
    <w:multiLevelType w:val="multilevel"/>
    <w:tmpl w:val="A8CE73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  <w:strike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Calibri" w:hAnsi="Calibri" w:cs="Calibr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3E143F13"/>
    <w:multiLevelType w:val="multilevel"/>
    <w:tmpl w:val="2F0C6D64"/>
    <w:lvl w:ilvl="0">
      <w:start w:val="1"/>
      <w:numFmt w:val="none"/>
      <w:suff w:val="nothing"/>
      <w:lvlText w:val=""/>
      <w:lvlJc w:val="left"/>
      <w:rPr>
        <w:rFonts w:cs="TiepoloItcTEEBoo" w:hint="default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850"/>
      </w:pPr>
      <w:rPr>
        <w:rFonts w:cs="TiepoloItcTEEBoo" w:hint="default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epoloItcTEEBoo" w:hint="default"/>
      </w:r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851"/>
      </w:pPr>
      <w:rPr>
        <w:rFonts w:cs="TiepoloItcTEEBoo" w:hint="default"/>
      </w:rPr>
    </w:lvl>
    <w:lvl w:ilvl="4">
      <w:start w:val="1"/>
      <w:numFmt w:val="lowerLetter"/>
      <w:lvlText w:val="(%5)"/>
      <w:lvlJc w:val="left"/>
      <w:pPr>
        <w:tabs>
          <w:tab w:val="num" w:pos="2551"/>
        </w:tabs>
        <w:ind w:left="2551" w:hanging="850"/>
      </w:pPr>
      <w:rPr>
        <w:rFonts w:asciiTheme="majorBidi" w:hAnsiTheme="majorBidi" w:cstheme="majorBidi" w:hint="default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851"/>
      </w:pPr>
      <w:rPr>
        <w:rFonts w:cs="TiepoloItcTEEBoo" w:hint="default"/>
      </w:rPr>
    </w:lvl>
    <w:lvl w:ilvl="6">
      <w:start w:val="1"/>
      <w:numFmt w:val="none"/>
      <w:suff w:val="nothing"/>
      <w:lvlText w:val=""/>
      <w:lvlJc w:val="left"/>
      <w:pPr>
        <w:ind w:left="851"/>
      </w:pPr>
      <w:rPr>
        <w:rFonts w:cs="TiepoloItcTEEBoo" w:hint="default"/>
      </w:rPr>
    </w:lvl>
    <w:lvl w:ilvl="7">
      <w:start w:val="1"/>
      <w:numFmt w:val="lowerLetter"/>
      <w:lvlText w:val="(%8)"/>
      <w:lvlJc w:val="left"/>
      <w:pPr>
        <w:tabs>
          <w:tab w:val="num" w:pos="1701"/>
        </w:tabs>
        <w:ind w:left="1701" w:hanging="850"/>
      </w:pPr>
      <w:rPr>
        <w:rFonts w:cs="TiepoloItcTEEBoo" w:hint="default"/>
      </w:rPr>
    </w:lvl>
    <w:lvl w:ilvl="8">
      <w:start w:val="1"/>
      <w:numFmt w:val="lowerRoman"/>
      <w:lvlText w:val="(%9)"/>
      <w:lvlJc w:val="left"/>
      <w:pPr>
        <w:tabs>
          <w:tab w:val="num" w:pos="2552"/>
        </w:tabs>
        <w:ind w:left="2552" w:hanging="851"/>
      </w:pPr>
      <w:rPr>
        <w:rFonts w:cs="TiepoloItcTEEBoo" w:hint="default"/>
      </w:rPr>
    </w:lvl>
  </w:abstractNum>
  <w:abstractNum w:abstractNumId="56" w15:restartNumberingAfterBreak="0">
    <w:nsid w:val="40554C4E"/>
    <w:multiLevelType w:val="hybridMultilevel"/>
    <w:tmpl w:val="1688C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831F91"/>
    <w:multiLevelType w:val="hybridMultilevel"/>
    <w:tmpl w:val="69EC16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3357BB"/>
    <w:multiLevelType w:val="hybridMultilevel"/>
    <w:tmpl w:val="9D22C47A"/>
    <w:lvl w:ilvl="0" w:tplc="1AFE04C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3606BF9"/>
    <w:multiLevelType w:val="multilevel"/>
    <w:tmpl w:val="E564EDA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</w:rPr>
    </w:lvl>
  </w:abstractNum>
  <w:abstractNum w:abstractNumId="60" w15:restartNumberingAfterBreak="0">
    <w:nsid w:val="45A33EF6"/>
    <w:multiLevelType w:val="hybridMultilevel"/>
    <w:tmpl w:val="27A8C5E6"/>
    <w:lvl w:ilvl="0" w:tplc="6A942B7E">
      <w:start w:val="1"/>
      <w:numFmt w:val="decimal"/>
      <w:lvlText w:val="%1."/>
      <w:lvlJc w:val="left"/>
      <w:pPr>
        <w:tabs>
          <w:tab w:val="num" w:pos="471"/>
        </w:tabs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6340E6B"/>
    <w:multiLevelType w:val="hybridMultilevel"/>
    <w:tmpl w:val="B2F2A40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2" w15:restartNumberingAfterBreak="0">
    <w:nsid w:val="480A5A04"/>
    <w:multiLevelType w:val="hybridMultilevel"/>
    <w:tmpl w:val="18BADA48"/>
    <w:lvl w:ilvl="0" w:tplc="6A942B7E">
      <w:start w:val="1"/>
      <w:numFmt w:val="decimal"/>
      <w:lvlText w:val="%1."/>
      <w:lvlJc w:val="left"/>
      <w:pPr>
        <w:tabs>
          <w:tab w:val="num" w:pos="471"/>
        </w:tabs>
        <w:ind w:left="47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481D45C4"/>
    <w:multiLevelType w:val="multilevel"/>
    <w:tmpl w:val="5C5CC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4" w15:restartNumberingAfterBreak="0">
    <w:nsid w:val="48842F13"/>
    <w:multiLevelType w:val="hybridMultilevel"/>
    <w:tmpl w:val="65FAA42E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8930077"/>
    <w:multiLevelType w:val="hybridMultilevel"/>
    <w:tmpl w:val="3E3CF226"/>
    <w:lvl w:ilvl="0" w:tplc="6A942B7E">
      <w:start w:val="1"/>
      <w:numFmt w:val="decimal"/>
      <w:lvlText w:val="%1."/>
      <w:lvlJc w:val="left"/>
      <w:pPr>
        <w:tabs>
          <w:tab w:val="num" w:pos="471"/>
        </w:tabs>
        <w:ind w:left="47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AAF4B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A8807FD"/>
    <w:multiLevelType w:val="multilevel"/>
    <w:tmpl w:val="88ACD796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4BAC3EB5"/>
    <w:multiLevelType w:val="multilevel"/>
    <w:tmpl w:val="E564EDA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</w:rPr>
    </w:lvl>
  </w:abstractNum>
  <w:abstractNum w:abstractNumId="68" w15:restartNumberingAfterBreak="0">
    <w:nsid w:val="4F9727D6"/>
    <w:multiLevelType w:val="hybridMultilevel"/>
    <w:tmpl w:val="CA6AF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36220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54D41934"/>
    <w:multiLevelType w:val="hybridMultilevel"/>
    <w:tmpl w:val="CDB2C1D6"/>
    <w:lvl w:ilvl="0" w:tplc="BDBEC9F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55C36D26"/>
    <w:multiLevelType w:val="multilevel"/>
    <w:tmpl w:val="3C8E6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2" w15:restartNumberingAfterBreak="0">
    <w:nsid w:val="57AB7691"/>
    <w:multiLevelType w:val="hybridMultilevel"/>
    <w:tmpl w:val="65F841FE"/>
    <w:lvl w:ilvl="0" w:tplc="1272E36E">
      <w:start w:val="1"/>
      <w:numFmt w:val="decimal"/>
      <w:lvlText w:val="10.4.%1."/>
      <w:lvlJc w:val="left"/>
      <w:pPr>
        <w:ind w:left="3168" w:hanging="360"/>
      </w:pPr>
      <w:rPr>
        <w:rFonts w:hint="default"/>
      </w:rPr>
    </w:lvl>
    <w:lvl w:ilvl="1" w:tplc="F73C6996">
      <w:start w:val="1"/>
      <w:numFmt w:val="decimal"/>
      <w:lvlText w:val="10.4.%2."/>
      <w:lvlJc w:val="left"/>
      <w:pPr>
        <w:ind w:left="1440" w:hanging="360"/>
      </w:pPr>
      <w:rPr>
        <w:rFonts w:hint="default"/>
        <w:b/>
      </w:rPr>
    </w:lvl>
    <w:lvl w:ilvl="2" w:tplc="F66897C6">
      <w:start w:val="1"/>
      <w:numFmt w:val="decimal"/>
      <w:lvlText w:val="10.4.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81E3F33"/>
    <w:multiLevelType w:val="hybridMultilevel"/>
    <w:tmpl w:val="30B2A366"/>
    <w:lvl w:ilvl="0" w:tplc="F908599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8B2661E"/>
    <w:multiLevelType w:val="multilevel"/>
    <w:tmpl w:val="37366E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58ED4C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5924735A"/>
    <w:multiLevelType w:val="hybridMultilevel"/>
    <w:tmpl w:val="ED7671E8"/>
    <w:lvl w:ilvl="0" w:tplc="CCFA202C">
      <w:start w:val="1"/>
      <w:numFmt w:val="decimal"/>
      <w:lvlText w:val="6.3.%1."/>
      <w:lvlJc w:val="left"/>
      <w:pPr>
        <w:ind w:left="1512" w:hanging="360"/>
      </w:pPr>
      <w:rPr>
        <w:rFonts w:hint="default"/>
      </w:rPr>
    </w:lvl>
    <w:lvl w:ilvl="1" w:tplc="0F022ACA">
      <w:start w:val="1"/>
      <w:numFmt w:val="decimal"/>
      <w:lvlText w:val="6.3.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8F7A0C"/>
    <w:multiLevelType w:val="hybridMultilevel"/>
    <w:tmpl w:val="F1501C72"/>
    <w:lvl w:ilvl="0" w:tplc="6A942B7E">
      <w:start w:val="1"/>
      <w:numFmt w:val="decimal"/>
      <w:lvlText w:val="%1."/>
      <w:lvlJc w:val="left"/>
      <w:pPr>
        <w:tabs>
          <w:tab w:val="num" w:pos="471"/>
        </w:tabs>
        <w:ind w:left="47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5B0527B1"/>
    <w:multiLevelType w:val="multilevel"/>
    <w:tmpl w:val="28023C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6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5B906A0C"/>
    <w:multiLevelType w:val="multilevel"/>
    <w:tmpl w:val="E564EDA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</w:rPr>
    </w:lvl>
  </w:abstractNum>
  <w:abstractNum w:abstractNumId="80" w15:restartNumberingAfterBreak="0">
    <w:nsid w:val="5B952DCD"/>
    <w:multiLevelType w:val="hybridMultilevel"/>
    <w:tmpl w:val="23A87072"/>
    <w:lvl w:ilvl="0" w:tplc="2B0251A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5C091DDA"/>
    <w:multiLevelType w:val="hybridMultilevel"/>
    <w:tmpl w:val="3A94B9B0"/>
    <w:lvl w:ilvl="0" w:tplc="024EA56C">
      <w:start w:val="1"/>
      <w:numFmt w:val="decimal"/>
      <w:lvlText w:val="10.3.%1."/>
      <w:lvlJc w:val="left"/>
      <w:pPr>
        <w:ind w:left="3883" w:hanging="180"/>
      </w:pPr>
      <w:rPr>
        <w:rFonts w:hint="default"/>
      </w:rPr>
    </w:lvl>
    <w:lvl w:ilvl="1" w:tplc="253E42CE">
      <w:start w:val="1"/>
      <w:numFmt w:val="decimal"/>
      <w:lvlText w:val="10.3.%2."/>
      <w:lvlJc w:val="left"/>
      <w:pPr>
        <w:ind w:left="1637" w:hanging="360"/>
      </w:pPr>
      <w:rPr>
        <w:rFonts w:hint="default"/>
        <w:b/>
      </w:rPr>
    </w:lvl>
    <w:lvl w:ilvl="2" w:tplc="A620A4DC">
      <w:start w:val="1"/>
      <w:numFmt w:val="decimal"/>
      <w:lvlText w:val="10.3.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C8A5A0F"/>
    <w:multiLevelType w:val="multilevel"/>
    <w:tmpl w:val="E564EDA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</w:rPr>
    </w:lvl>
  </w:abstractNum>
  <w:abstractNum w:abstractNumId="83" w15:restartNumberingAfterBreak="0">
    <w:nsid w:val="5DBA00CD"/>
    <w:multiLevelType w:val="hybridMultilevel"/>
    <w:tmpl w:val="3CE4667C"/>
    <w:lvl w:ilvl="0" w:tplc="FEE2DF06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ascii="Verdana" w:hAnsi="Verdan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42E15DC"/>
    <w:multiLevelType w:val="hybridMultilevel"/>
    <w:tmpl w:val="9D52E682"/>
    <w:lvl w:ilvl="0" w:tplc="6A942B7E">
      <w:start w:val="1"/>
      <w:numFmt w:val="decimal"/>
      <w:lvlText w:val="%1."/>
      <w:lvlJc w:val="left"/>
      <w:pPr>
        <w:tabs>
          <w:tab w:val="num" w:pos="471"/>
        </w:tabs>
        <w:ind w:left="47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666868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68CF259D"/>
    <w:multiLevelType w:val="hybridMultilevel"/>
    <w:tmpl w:val="5484A17E"/>
    <w:lvl w:ilvl="0" w:tplc="B428D62E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69F70577"/>
    <w:multiLevelType w:val="hybridMultilevel"/>
    <w:tmpl w:val="BD620F76"/>
    <w:lvl w:ilvl="0" w:tplc="6A942B7E">
      <w:start w:val="1"/>
      <w:numFmt w:val="decimal"/>
      <w:lvlText w:val="%1."/>
      <w:lvlJc w:val="left"/>
      <w:pPr>
        <w:tabs>
          <w:tab w:val="num" w:pos="471"/>
        </w:tabs>
        <w:ind w:left="47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6E883976"/>
    <w:multiLevelType w:val="hybridMultilevel"/>
    <w:tmpl w:val="0102F9B4"/>
    <w:lvl w:ilvl="0" w:tplc="386AC9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6F097FBE"/>
    <w:multiLevelType w:val="multilevel"/>
    <w:tmpl w:val="F1D89C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10.2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6FCF1F1E"/>
    <w:multiLevelType w:val="multilevel"/>
    <w:tmpl w:val="FC946792"/>
    <w:lvl w:ilvl="0">
      <w:start w:val="10"/>
      <w:numFmt w:val="decimal"/>
      <w:lvlText w:val="%1."/>
      <w:lvlJc w:val="left"/>
      <w:pPr>
        <w:ind w:left="764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1" w15:restartNumberingAfterBreak="0">
    <w:nsid w:val="712E33DC"/>
    <w:multiLevelType w:val="hybridMultilevel"/>
    <w:tmpl w:val="9C1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3E9113D"/>
    <w:multiLevelType w:val="multilevel"/>
    <w:tmpl w:val="C55E3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46C22CB"/>
    <w:multiLevelType w:val="hybridMultilevel"/>
    <w:tmpl w:val="B010F26E"/>
    <w:lvl w:ilvl="0" w:tplc="F41A3BF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754D4D06"/>
    <w:multiLevelType w:val="hybridMultilevel"/>
    <w:tmpl w:val="9D00714E"/>
    <w:lvl w:ilvl="0" w:tplc="15A8152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766D0D9E"/>
    <w:multiLevelType w:val="hybridMultilevel"/>
    <w:tmpl w:val="2EFAA2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76706A5D"/>
    <w:multiLevelType w:val="hybridMultilevel"/>
    <w:tmpl w:val="9A309C56"/>
    <w:lvl w:ilvl="0" w:tplc="513A938E">
      <w:start w:val="1"/>
      <w:numFmt w:val="decimal"/>
      <w:lvlText w:val="%1)"/>
      <w:lvlJc w:val="left"/>
      <w:pPr>
        <w:tabs>
          <w:tab w:val="num" w:pos="1740"/>
        </w:tabs>
        <w:ind w:left="1740" w:hanging="18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772311C"/>
    <w:multiLevelType w:val="hybridMultilevel"/>
    <w:tmpl w:val="C0C01502"/>
    <w:lvl w:ilvl="0" w:tplc="0415000F">
      <w:start w:val="1"/>
      <w:numFmt w:val="decimal"/>
      <w:lvlText w:val="%1."/>
      <w:lvlJc w:val="left"/>
      <w:pPr>
        <w:tabs>
          <w:tab w:val="num" w:pos="471"/>
        </w:tabs>
        <w:ind w:left="4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792428BE"/>
    <w:multiLevelType w:val="hybridMultilevel"/>
    <w:tmpl w:val="830CCF84"/>
    <w:lvl w:ilvl="0" w:tplc="AB1280F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9" w15:restartNumberingAfterBreak="0">
    <w:nsid w:val="799215C3"/>
    <w:multiLevelType w:val="hybridMultilevel"/>
    <w:tmpl w:val="FE20C49E"/>
    <w:lvl w:ilvl="0" w:tplc="667C3058">
      <w:start w:val="1"/>
      <w:numFmt w:val="decimal"/>
      <w:lvlText w:val="%1)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00" w15:restartNumberingAfterBreak="0">
    <w:nsid w:val="7B066D99"/>
    <w:multiLevelType w:val="hybridMultilevel"/>
    <w:tmpl w:val="18A48DE0"/>
    <w:lvl w:ilvl="0" w:tplc="6A942B7E">
      <w:start w:val="1"/>
      <w:numFmt w:val="decimal"/>
      <w:lvlText w:val="%1."/>
      <w:lvlJc w:val="left"/>
      <w:pPr>
        <w:tabs>
          <w:tab w:val="num" w:pos="471"/>
        </w:tabs>
        <w:ind w:left="47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08E87B6">
      <w:start w:val="1"/>
      <w:numFmt w:val="decimal"/>
      <w:lvlText w:val="%3)"/>
      <w:lvlJc w:val="left"/>
      <w:pPr>
        <w:tabs>
          <w:tab w:val="num" w:pos="1740"/>
        </w:tabs>
        <w:ind w:left="1740" w:hanging="180"/>
      </w:pPr>
      <w:rPr>
        <w:rFonts w:ascii="Verdana" w:hAnsi="Verdana" w:cs="Times New Roman" w:hint="default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1" w15:restartNumberingAfterBreak="0">
    <w:nsid w:val="7B565FD1"/>
    <w:multiLevelType w:val="hybridMultilevel"/>
    <w:tmpl w:val="7FFE9950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 w15:restartNumberingAfterBreak="0">
    <w:nsid w:val="7D475B32"/>
    <w:multiLevelType w:val="hybridMultilevel"/>
    <w:tmpl w:val="87507C14"/>
    <w:lvl w:ilvl="0" w:tplc="8BF6CF9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5"/>
  </w:num>
  <w:num w:numId="2">
    <w:abstractNumId w:val="97"/>
  </w:num>
  <w:num w:numId="3">
    <w:abstractNumId w:val="94"/>
  </w:num>
  <w:num w:numId="4">
    <w:abstractNumId w:val="84"/>
  </w:num>
  <w:num w:numId="5">
    <w:abstractNumId w:val="17"/>
  </w:num>
  <w:num w:numId="6">
    <w:abstractNumId w:val="46"/>
  </w:num>
  <w:num w:numId="7">
    <w:abstractNumId w:val="102"/>
  </w:num>
  <w:num w:numId="8">
    <w:abstractNumId w:val="98"/>
  </w:num>
  <w:num w:numId="9">
    <w:abstractNumId w:val="12"/>
  </w:num>
  <w:num w:numId="10">
    <w:abstractNumId w:val="93"/>
  </w:num>
  <w:num w:numId="11">
    <w:abstractNumId w:val="63"/>
  </w:num>
  <w:num w:numId="12">
    <w:abstractNumId w:val="70"/>
  </w:num>
  <w:num w:numId="13">
    <w:abstractNumId w:val="24"/>
  </w:num>
  <w:num w:numId="14">
    <w:abstractNumId w:val="9"/>
  </w:num>
  <w:num w:numId="15">
    <w:abstractNumId w:val="87"/>
  </w:num>
  <w:num w:numId="16">
    <w:abstractNumId w:val="50"/>
  </w:num>
  <w:num w:numId="17">
    <w:abstractNumId w:val="3"/>
  </w:num>
  <w:num w:numId="18">
    <w:abstractNumId w:val="62"/>
  </w:num>
  <w:num w:numId="19">
    <w:abstractNumId w:val="80"/>
  </w:num>
  <w:num w:numId="20">
    <w:abstractNumId w:val="101"/>
  </w:num>
  <w:num w:numId="21">
    <w:abstractNumId w:val="95"/>
  </w:num>
  <w:num w:numId="22">
    <w:abstractNumId w:val="52"/>
  </w:num>
  <w:num w:numId="23">
    <w:abstractNumId w:val="77"/>
  </w:num>
  <w:num w:numId="24">
    <w:abstractNumId w:val="64"/>
  </w:num>
  <w:num w:numId="25">
    <w:abstractNumId w:val="26"/>
  </w:num>
  <w:num w:numId="26">
    <w:abstractNumId w:val="58"/>
  </w:num>
  <w:num w:numId="27">
    <w:abstractNumId w:val="53"/>
  </w:num>
  <w:num w:numId="28">
    <w:abstractNumId w:val="92"/>
  </w:num>
  <w:num w:numId="29">
    <w:abstractNumId w:val="60"/>
  </w:num>
  <w:num w:numId="30">
    <w:abstractNumId w:val="21"/>
  </w:num>
  <w:num w:numId="31">
    <w:abstractNumId w:val="4"/>
  </w:num>
  <w:num w:numId="32">
    <w:abstractNumId w:val="33"/>
  </w:num>
  <w:num w:numId="33">
    <w:abstractNumId w:val="35"/>
  </w:num>
  <w:num w:numId="34">
    <w:abstractNumId w:val="73"/>
  </w:num>
  <w:num w:numId="35">
    <w:abstractNumId w:val="27"/>
  </w:num>
  <w:num w:numId="36">
    <w:abstractNumId w:val="13"/>
  </w:num>
  <w:num w:numId="37">
    <w:abstractNumId w:val="38"/>
  </w:num>
  <w:num w:numId="38">
    <w:abstractNumId w:val="40"/>
  </w:num>
  <w:num w:numId="39">
    <w:abstractNumId w:val="25"/>
  </w:num>
  <w:num w:numId="40">
    <w:abstractNumId w:val="29"/>
  </w:num>
  <w:num w:numId="41">
    <w:abstractNumId w:val="99"/>
  </w:num>
  <w:num w:numId="42">
    <w:abstractNumId w:val="30"/>
  </w:num>
  <w:num w:numId="43">
    <w:abstractNumId w:val="10"/>
  </w:num>
  <w:num w:numId="44">
    <w:abstractNumId w:val="7"/>
  </w:num>
  <w:num w:numId="45">
    <w:abstractNumId w:val="88"/>
  </w:num>
  <w:num w:numId="46">
    <w:abstractNumId w:val="22"/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23"/>
  </w:num>
  <w:num w:numId="50">
    <w:abstractNumId w:val="44"/>
  </w:num>
  <w:num w:numId="51">
    <w:abstractNumId w:val="83"/>
  </w:num>
  <w:num w:numId="52">
    <w:abstractNumId w:val="1"/>
  </w:num>
  <w:num w:numId="53">
    <w:abstractNumId w:val="34"/>
  </w:num>
  <w:num w:numId="54">
    <w:abstractNumId w:val="100"/>
  </w:num>
  <w:num w:numId="55">
    <w:abstractNumId w:val="47"/>
  </w:num>
  <w:num w:numId="56">
    <w:abstractNumId w:val="20"/>
  </w:num>
  <w:num w:numId="57">
    <w:abstractNumId w:val="96"/>
  </w:num>
  <w:num w:numId="58">
    <w:abstractNumId w:val="5"/>
  </w:num>
  <w:num w:numId="59">
    <w:abstractNumId w:val="31"/>
  </w:num>
  <w:num w:numId="60">
    <w:abstractNumId w:val="71"/>
  </w:num>
  <w:num w:numId="61">
    <w:abstractNumId w:val="14"/>
  </w:num>
  <w:num w:numId="62">
    <w:abstractNumId w:val="2"/>
  </w:num>
  <w:num w:numId="63">
    <w:abstractNumId w:val="11"/>
  </w:num>
  <w:num w:numId="64">
    <w:abstractNumId w:val="78"/>
  </w:num>
  <w:num w:numId="65">
    <w:abstractNumId w:val="89"/>
  </w:num>
  <w:num w:numId="66">
    <w:abstractNumId w:val="74"/>
  </w:num>
  <w:num w:numId="67">
    <w:abstractNumId w:val="82"/>
  </w:num>
  <w:num w:numId="68">
    <w:abstractNumId w:val="43"/>
  </w:num>
  <w:num w:numId="69">
    <w:abstractNumId w:val="6"/>
  </w:num>
  <w:num w:numId="70">
    <w:abstractNumId w:val="66"/>
  </w:num>
  <w:num w:numId="71">
    <w:abstractNumId w:val="75"/>
  </w:num>
  <w:num w:numId="72">
    <w:abstractNumId w:val="59"/>
  </w:num>
  <w:num w:numId="73">
    <w:abstractNumId w:val="32"/>
  </w:num>
  <w:num w:numId="74">
    <w:abstractNumId w:val="79"/>
  </w:num>
  <w:num w:numId="75">
    <w:abstractNumId w:val="67"/>
  </w:num>
  <w:num w:numId="76">
    <w:abstractNumId w:val="19"/>
  </w:num>
  <w:num w:numId="77">
    <w:abstractNumId w:val="51"/>
  </w:num>
  <w:num w:numId="78">
    <w:abstractNumId w:val="76"/>
  </w:num>
  <w:num w:numId="79">
    <w:abstractNumId w:val="18"/>
  </w:num>
  <w:num w:numId="80">
    <w:abstractNumId w:val="81"/>
  </w:num>
  <w:num w:numId="81">
    <w:abstractNumId w:val="72"/>
  </w:num>
  <w:num w:numId="82">
    <w:abstractNumId w:val="16"/>
  </w:num>
  <w:num w:numId="83">
    <w:abstractNumId w:val="42"/>
  </w:num>
  <w:num w:numId="84">
    <w:abstractNumId w:val="0"/>
  </w:num>
  <w:num w:numId="85">
    <w:abstractNumId w:val="28"/>
  </w:num>
  <w:num w:numId="86">
    <w:abstractNumId w:val="49"/>
  </w:num>
  <w:num w:numId="87">
    <w:abstractNumId w:val="85"/>
  </w:num>
  <w:num w:numId="88">
    <w:abstractNumId w:val="57"/>
  </w:num>
  <w:num w:numId="89">
    <w:abstractNumId w:val="36"/>
  </w:num>
  <w:num w:numId="90">
    <w:abstractNumId w:val="69"/>
  </w:num>
  <w:num w:numId="91">
    <w:abstractNumId w:val="65"/>
  </w:num>
  <w:num w:numId="92">
    <w:abstractNumId w:val="91"/>
  </w:num>
  <w:num w:numId="93">
    <w:abstractNumId w:val="61"/>
  </w:num>
  <w:num w:numId="94">
    <w:abstractNumId w:val="86"/>
  </w:num>
  <w:num w:numId="95">
    <w:abstractNumId w:val="48"/>
  </w:num>
  <w:num w:numId="96">
    <w:abstractNumId w:val="41"/>
  </w:num>
  <w:num w:numId="97">
    <w:abstractNumId w:val="68"/>
  </w:num>
  <w:num w:numId="98">
    <w:abstractNumId w:val="37"/>
  </w:num>
  <w:num w:numId="99">
    <w:abstractNumId w:val="8"/>
  </w:num>
  <w:num w:numId="100">
    <w:abstractNumId w:val="55"/>
  </w:num>
  <w:num w:numId="101">
    <w:abstractNumId w:val="54"/>
  </w:num>
  <w:num w:numId="102">
    <w:abstractNumId w:val="39"/>
  </w:num>
  <w:num w:numId="103">
    <w:abstractNumId w:val="90"/>
  </w:num>
  <w:num w:numId="104">
    <w:abstractNumId w:val="5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9BD"/>
    <w:rsid w:val="00003143"/>
    <w:rsid w:val="00005075"/>
    <w:rsid w:val="00011606"/>
    <w:rsid w:val="000146F5"/>
    <w:rsid w:val="00014D9B"/>
    <w:rsid w:val="00017320"/>
    <w:rsid w:val="0002149A"/>
    <w:rsid w:val="00023826"/>
    <w:rsid w:val="00027BFF"/>
    <w:rsid w:val="00031AD2"/>
    <w:rsid w:val="00034171"/>
    <w:rsid w:val="000357BD"/>
    <w:rsid w:val="00036EF3"/>
    <w:rsid w:val="000427B8"/>
    <w:rsid w:val="00042E77"/>
    <w:rsid w:val="00043E0F"/>
    <w:rsid w:val="000463A8"/>
    <w:rsid w:val="00046656"/>
    <w:rsid w:val="000475F2"/>
    <w:rsid w:val="00052FD1"/>
    <w:rsid w:val="00054661"/>
    <w:rsid w:val="00054B97"/>
    <w:rsid w:val="00054F26"/>
    <w:rsid w:val="00056A80"/>
    <w:rsid w:val="00066F87"/>
    <w:rsid w:val="0007138F"/>
    <w:rsid w:val="0007181C"/>
    <w:rsid w:val="00071E19"/>
    <w:rsid w:val="0007249B"/>
    <w:rsid w:val="0007314D"/>
    <w:rsid w:val="000732EB"/>
    <w:rsid w:val="000744BE"/>
    <w:rsid w:val="00075D23"/>
    <w:rsid w:val="00077695"/>
    <w:rsid w:val="00080551"/>
    <w:rsid w:val="00081D7F"/>
    <w:rsid w:val="0009043F"/>
    <w:rsid w:val="0009078F"/>
    <w:rsid w:val="00090CA3"/>
    <w:rsid w:val="00093D70"/>
    <w:rsid w:val="000942FA"/>
    <w:rsid w:val="000A2C50"/>
    <w:rsid w:val="000A451B"/>
    <w:rsid w:val="000B074F"/>
    <w:rsid w:val="000B5310"/>
    <w:rsid w:val="000B5825"/>
    <w:rsid w:val="000B649B"/>
    <w:rsid w:val="000B747E"/>
    <w:rsid w:val="000B78E2"/>
    <w:rsid w:val="000C30E2"/>
    <w:rsid w:val="000C3A3D"/>
    <w:rsid w:val="000C52D1"/>
    <w:rsid w:val="000C5872"/>
    <w:rsid w:val="000C6BA0"/>
    <w:rsid w:val="000D01DD"/>
    <w:rsid w:val="000D0533"/>
    <w:rsid w:val="000D621C"/>
    <w:rsid w:val="000E542F"/>
    <w:rsid w:val="000E590D"/>
    <w:rsid w:val="000E62E9"/>
    <w:rsid w:val="000F25EF"/>
    <w:rsid w:val="000F2E37"/>
    <w:rsid w:val="000F3EDA"/>
    <w:rsid w:val="000F4A61"/>
    <w:rsid w:val="000F547B"/>
    <w:rsid w:val="000F6C67"/>
    <w:rsid w:val="000F6CA9"/>
    <w:rsid w:val="000F7FF7"/>
    <w:rsid w:val="00105294"/>
    <w:rsid w:val="0010594D"/>
    <w:rsid w:val="001065ED"/>
    <w:rsid w:val="00110215"/>
    <w:rsid w:val="00114EC0"/>
    <w:rsid w:val="0012023A"/>
    <w:rsid w:val="00123DE7"/>
    <w:rsid w:val="00125D4E"/>
    <w:rsid w:val="00133614"/>
    <w:rsid w:val="001343D7"/>
    <w:rsid w:val="00135CD8"/>
    <w:rsid w:val="00135F9D"/>
    <w:rsid w:val="001416D2"/>
    <w:rsid w:val="00150A2E"/>
    <w:rsid w:val="00156D49"/>
    <w:rsid w:val="001579ED"/>
    <w:rsid w:val="00163D66"/>
    <w:rsid w:val="00166865"/>
    <w:rsid w:val="00166DA9"/>
    <w:rsid w:val="001670C5"/>
    <w:rsid w:val="00170106"/>
    <w:rsid w:val="001728CA"/>
    <w:rsid w:val="00174364"/>
    <w:rsid w:val="00174E2A"/>
    <w:rsid w:val="00176A5D"/>
    <w:rsid w:val="00177E20"/>
    <w:rsid w:val="0018337D"/>
    <w:rsid w:val="00183D2A"/>
    <w:rsid w:val="00184FEF"/>
    <w:rsid w:val="00185E7B"/>
    <w:rsid w:val="00191E07"/>
    <w:rsid w:val="00194295"/>
    <w:rsid w:val="0019580A"/>
    <w:rsid w:val="0019618C"/>
    <w:rsid w:val="001972EB"/>
    <w:rsid w:val="001A1243"/>
    <w:rsid w:val="001A4F23"/>
    <w:rsid w:val="001A7C31"/>
    <w:rsid w:val="001B01EE"/>
    <w:rsid w:val="001B235A"/>
    <w:rsid w:val="001B2857"/>
    <w:rsid w:val="001B466D"/>
    <w:rsid w:val="001B4C16"/>
    <w:rsid w:val="001B590E"/>
    <w:rsid w:val="001B60AC"/>
    <w:rsid w:val="001B756E"/>
    <w:rsid w:val="001B7973"/>
    <w:rsid w:val="001B7D35"/>
    <w:rsid w:val="001C12B8"/>
    <w:rsid w:val="001C59B6"/>
    <w:rsid w:val="001E4158"/>
    <w:rsid w:val="001E7F31"/>
    <w:rsid w:val="001F0FAC"/>
    <w:rsid w:val="001F21A6"/>
    <w:rsid w:val="0020106E"/>
    <w:rsid w:val="00205569"/>
    <w:rsid w:val="002060CB"/>
    <w:rsid w:val="00206E86"/>
    <w:rsid w:val="00207B1A"/>
    <w:rsid w:val="002102D5"/>
    <w:rsid w:val="00214727"/>
    <w:rsid w:val="00216756"/>
    <w:rsid w:val="002216EB"/>
    <w:rsid w:val="00222CE9"/>
    <w:rsid w:val="00223975"/>
    <w:rsid w:val="00223E69"/>
    <w:rsid w:val="00225702"/>
    <w:rsid w:val="00226DBB"/>
    <w:rsid w:val="00230EFB"/>
    <w:rsid w:val="002312E1"/>
    <w:rsid w:val="00232289"/>
    <w:rsid w:val="0023283F"/>
    <w:rsid w:val="002348FB"/>
    <w:rsid w:val="00235855"/>
    <w:rsid w:val="002409DE"/>
    <w:rsid w:val="00240FE6"/>
    <w:rsid w:val="002428E6"/>
    <w:rsid w:val="0024306B"/>
    <w:rsid w:val="002517FC"/>
    <w:rsid w:val="00251A43"/>
    <w:rsid w:val="00252A41"/>
    <w:rsid w:val="00257551"/>
    <w:rsid w:val="00260185"/>
    <w:rsid w:val="00260BFA"/>
    <w:rsid w:val="00261F73"/>
    <w:rsid w:val="002645CE"/>
    <w:rsid w:val="00271EFE"/>
    <w:rsid w:val="00272DFF"/>
    <w:rsid w:val="00274899"/>
    <w:rsid w:val="00276978"/>
    <w:rsid w:val="00281C25"/>
    <w:rsid w:val="0028262F"/>
    <w:rsid w:val="00283EF5"/>
    <w:rsid w:val="00285537"/>
    <w:rsid w:val="002870A0"/>
    <w:rsid w:val="002916B3"/>
    <w:rsid w:val="00294EDD"/>
    <w:rsid w:val="002954CB"/>
    <w:rsid w:val="002A1A6B"/>
    <w:rsid w:val="002A27E8"/>
    <w:rsid w:val="002A3480"/>
    <w:rsid w:val="002A64FE"/>
    <w:rsid w:val="002A6D8E"/>
    <w:rsid w:val="002B1EDF"/>
    <w:rsid w:val="002B2AAF"/>
    <w:rsid w:val="002C335D"/>
    <w:rsid w:val="002C7ED1"/>
    <w:rsid w:val="002D0AFD"/>
    <w:rsid w:val="002D35B2"/>
    <w:rsid w:val="002D3F24"/>
    <w:rsid w:val="002D42EB"/>
    <w:rsid w:val="002D48AE"/>
    <w:rsid w:val="002D761B"/>
    <w:rsid w:val="002E1E34"/>
    <w:rsid w:val="002E3A25"/>
    <w:rsid w:val="002E6DD2"/>
    <w:rsid w:val="002E71DC"/>
    <w:rsid w:val="002F0392"/>
    <w:rsid w:val="002F2B35"/>
    <w:rsid w:val="002F5F5B"/>
    <w:rsid w:val="002F5F99"/>
    <w:rsid w:val="003000A6"/>
    <w:rsid w:val="00303A3B"/>
    <w:rsid w:val="00304829"/>
    <w:rsid w:val="00304E75"/>
    <w:rsid w:val="003051BD"/>
    <w:rsid w:val="00306874"/>
    <w:rsid w:val="0030779F"/>
    <w:rsid w:val="003139E5"/>
    <w:rsid w:val="00313BB9"/>
    <w:rsid w:val="003159BE"/>
    <w:rsid w:val="00316B81"/>
    <w:rsid w:val="00320F5C"/>
    <w:rsid w:val="0032739C"/>
    <w:rsid w:val="003347D9"/>
    <w:rsid w:val="0033616F"/>
    <w:rsid w:val="0033760E"/>
    <w:rsid w:val="00337ADE"/>
    <w:rsid w:val="0034261C"/>
    <w:rsid w:val="003450EF"/>
    <w:rsid w:val="0035050D"/>
    <w:rsid w:val="0035192E"/>
    <w:rsid w:val="00353623"/>
    <w:rsid w:val="003548D3"/>
    <w:rsid w:val="00356E19"/>
    <w:rsid w:val="0035791A"/>
    <w:rsid w:val="0036001B"/>
    <w:rsid w:val="00361642"/>
    <w:rsid w:val="00363A0F"/>
    <w:rsid w:val="003704ED"/>
    <w:rsid w:val="00372104"/>
    <w:rsid w:val="003727FC"/>
    <w:rsid w:val="003744B6"/>
    <w:rsid w:val="003771B2"/>
    <w:rsid w:val="003779AC"/>
    <w:rsid w:val="00381CDC"/>
    <w:rsid w:val="00385F09"/>
    <w:rsid w:val="0039100C"/>
    <w:rsid w:val="00393532"/>
    <w:rsid w:val="00396915"/>
    <w:rsid w:val="0039730E"/>
    <w:rsid w:val="003A0269"/>
    <w:rsid w:val="003A0D9E"/>
    <w:rsid w:val="003A2CFF"/>
    <w:rsid w:val="003A2E91"/>
    <w:rsid w:val="003A3B3E"/>
    <w:rsid w:val="003A5163"/>
    <w:rsid w:val="003B2A44"/>
    <w:rsid w:val="003C3CB4"/>
    <w:rsid w:val="003C4550"/>
    <w:rsid w:val="003C47E0"/>
    <w:rsid w:val="003C5415"/>
    <w:rsid w:val="003C569E"/>
    <w:rsid w:val="003C6874"/>
    <w:rsid w:val="003C697D"/>
    <w:rsid w:val="003C6C90"/>
    <w:rsid w:val="003D0178"/>
    <w:rsid w:val="003D1E28"/>
    <w:rsid w:val="003D73E3"/>
    <w:rsid w:val="003E0569"/>
    <w:rsid w:val="003E32B4"/>
    <w:rsid w:val="003E45F9"/>
    <w:rsid w:val="003F13A4"/>
    <w:rsid w:val="003F13A8"/>
    <w:rsid w:val="003F641A"/>
    <w:rsid w:val="00401482"/>
    <w:rsid w:val="00406B53"/>
    <w:rsid w:val="00407602"/>
    <w:rsid w:val="004140C3"/>
    <w:rsid w:val="00417092"/>
    <w:rsid w:val="004207C5"/>
    <w:rsid w:val="00431E00"/>
    <w:rsid w:val="00436B55"/>
    <w:rsid w:val="00437FE1"/>
    <w:rsid w:val="004402E3"/>
    <w:rsid w:val="004409CD"/>
    <w:rsid w:val="00440BF4"/>
    <w:rsid w:val="004425FC"/>
    <w:rsid w:val="004468D6"/>
    <w:rsid w:val="00447121"/>
    <w:rsid w:val="00452A0A"/>
    <w:rsid w:val="00454AAD"/>
    <w:rsid w:val="00457864"/>
    <w:rsid w:val="00460570"/>
    <w:rsid w:val="00461753"/>
    <w:rsid w:val="0046223D"/>
    <w:rsid w:val="00464933"/>
    <w:rsid w:val="00465C95"/>
    <w:rsid w:val="00467313"/>
    <w:rsid w:val="004700EE"/>
    <w:rsid w:val="00473A2A"/>
    <w:rsid w:val="004747D9"/>
    <w:rsid w:val="00475375"/>
    <w:rsid w:val="00476866"/>
    <w:rsid w:val="00484695"/>
    <w:rsid w:val="00485B78"/>
    <w:rsid w:val="00486334"/>
    <w:rsid w:val="004878E5"/>
    <w:rsid w:val="004A013D"/>
    <w:rsid w:val="004A3DEF"/>
    <w:rsid w:val="004A4FC8"/>
    <w:rsid w:val="004A5A7A"/>
    <w:rsid w:val="004A76D1"/>
    <w:rsid w:val="004B3B1F"/>
    <w:rsid w:val="004B5036"/>
    <w:rsid w:val="004B68A2"/>
    <w:rsid w:val="004B712C"/>
    <w:rsid w:val="004C27E0"/>
    <w:rsid w:val="004C4E95"/>
    <w:rsid w:val="004D4B48"/>
    <w:rsid w:val="004D66AC"/>
    <w:rsid w:val="004D72E7"/>
    <w:rsid w:val="004D7D67"/>
    <w:rsid w:val="004E2E48"/>
    <w:rsid w:val="004E37EF"/>
    <w:rsid w:val="004E7F6F"/>
    <w:rsid w:val="004F4EE7"/>
    <w:rsid w:val="004F5762"/>
    <w:rsid w:val="004F64C3"/>
    <w:rsid w:val="004F77B1"/>
    <w:rsid w:val="005034A5"/>
    <w:rsid w:val="00503B9B"/>
    <w:rsid w:val="00504979"/>
    <w:rsid w:val="00504F74"/>
    <w:rsid w:val="0050568E"/>
    <w:rsid w:val="005122B9"/>
    <w:rsid w:val="00516C4C"/>
    <w:rsid w:val="00520BF4"/>
    <w:rsid w:val="00521D7F"/>
    <w:rsid w:val="00526D53"/>
    <w:rsid w:val="00527FB6"/>
    <w:rsid w:val="005302AB"/>
    <w:rsid w:val="00532762"/>
    <w:rsid w:val="00534478"/>
    <w:rsid w:val="00534865"/>
    <w:rsid w:val="00534A55"/>
    <w:rsid w:val="00536BC8"/>
    <w:rsid w:val="00536EF3"/>
    <w:rsid w:val="00543B1E"/>
    <w:rsid w:val="005455B9"/>
    <w:rsid w:val="005501FC"/>
    <w:rsid w:val="00550F1D"/>
    <w:rsid w:val="00552E8B"/>
    <w:rsid w:val="00552E9F"/>
    <w:rsid w:val="005539FE"/>
    <w:rsid w:val="0055652D"/>
    <w:rsid w:val="00556779"/>
    <w:rsid w:val="005606F3"/>
    <w:rsid w:val="00560AD8"/>
    <w:rsid w:val="0056345E"/>
    <w:rsid w:val="00564F23"/>
    <w:rsid w:val="0056648C"/>
    <w:rsid w:val="00570975"/>
    <w:rsid w:val="00571346"/>
    <w:rsid w:val="005727F3"/>
    <w:rsid w:val="00572D8A"/>
    <w:rsid w:val="0057331A"/>
    <w:rsid w:val="005733DB"/>
    <w:rsid w:val="00577325"/>
    <w:rsid w:val="0057793A"/>
    <w:rsid w:val="00585C16"/>
    <w:rsid w:val="00585E4E"/>
    <w:rsid w:val="005974E9"/>
    <w:rsid w:val="005A08BF"/>
    <w:rsid w:val="005A0DFE"/>
    <w:rsid w:val="005A19B6"/>
    <w:rsid w:val="005A228C"/>
    <w:rsid w:val="005A29E7"/>
    <w:rsid w:val="005A37FB"/>
    <w:rsid w:val="005A5E00"/>
    <w:rsid w:val="005A634D"/>
    <w:rsid w:val="005A641D"/>
    <w:rsid w:val="005A6F8E"/>
    <w:rsid w:val="005A7220"/>
    <w:rsid w:val="005A7DA4"/>
    <w:rsid w:val="005B5612"/>
    <w:rsid w:val="005B7EB0"/>
    <w:rsid w:val="005C01FF"/>
    <w:rsid w:val="005C31FF"/>
    <w:rsid w:val="005C5AE0"/>
    <w:rsid w:val="005C7CE3"/>
    <w:rsid w:val="005D0726"/>
    <w:rsid w:val="005D0746"/>
    <w:rsid w:val="005D0D3D"/>
    <w:rsid w:val="005D1678"/>
    <w:rsid w:val="005D5564"/>
    <w:rsid w:val="005D56FA"/>
    <w:rsid w:val="005D6DCE"/>
    <w:rsid w:val="005D6E58"/>
    <w:rsid w:val="005E0C06"/>
    <w:rsid w:val="005E3E90"/>
    <w:rsid w:val="005E4E51"/>
    <w:rsid w:val="005E6C28"/>
    <w:rsid w:val="005E6DA9"/>
    <w:rsid w:val="005E761A"/>
    <w:rsid w:val="005E7678"/>
    <w:rsid w:val="005F5E2A"/>
    <w:rsid w:val="005F7AD6"/>
    <w:rsid w:val="00601F00"/>
    <w:rsid w:val="00604CF9"/>
    <w:rsid w:val="0060692D"/>
    <w:rsid w:val="00610085"/>
    <w:rsid w:val="006105BD"/>
    <w:rsid w:val="006145B2"/>
    <w:rsid w:val="00614C75"/>
    <w:rsid w:val="006154C9"/>
    <w:rsid w:val="00624FB0"/>
    <w:rsid w:val="0062529D"/>
    <w:rsid w:val="006336C0"/>
    <w:rsid w:val="0064375F"/>
    <w:rsid w:val="00644706"/>
    <w:rsid w:val="00645FA6"/>
    <w:rsid w:val="006476E4"/>
    <w:rsid w:val="0064779E"/>
    <w:rsid w:val="006509B9"/>
    <w:rsid w:val="00650BBB"/>
    <w:rsid w:val="00651600"/>
    <w:rsid w:val="00651723"/>
    <w:rsid w:val="00652EA1"/>
    <w:rsid w:val="00654057"/>
    <w:rsid w:val="006552C9"/>
    <w:rsid w:val="00657461"/>
    <w:rsid w:val="006603D4"/>
    <w:rsid w:val="00661158"/>
    <w:rsid w:val="00661762"/>
    <w:rsid w:val="00662F91"/>
    <w:rsid w:val="00663A61"/>
    <w:rsid w:val="006641FD"/>
    <w:rsid w:val="00665A1D"/>
    <w:rsid w:val="006671E9"/>
    <w:rsid w:val="006743B9"/>
    <w:rsid w:val="0067662C"/>
    <w:rsid w:val="006808B2"/>
    <w:rsid w:val="00691034"/>
    <w:rsid w:val="006923D5"/>
    <w:rsid w:val="00692F9F"/>
    <w:rsid w:val="00694E4D"/>
    <w:rsid w:val="00695960"/>
    <w:rsid w:val="006977F0"/>
    <w:rsid w:val="006A07DF"/>
    <w:rsid w:val="006A2703"/>
    <w:rsid w:val="006A292A"/>
    <w:rsid w:val="006A2940"/>
    <w:rsid w:val="006A3624"/>
    <w:rsid w:val="006A6006"/>
    <w:rsid w:val="006B4264"/>
    <w:rsid w:val="006B4A5A"/>
    <w:rsid w:val="006C550C"/>
    <w:rsid w:val="006C6C6E"/>
    <w:rsid w:val="006C7718"/>
    <w:rsid w:val="006D67CB"/>
    <w:rsid w:val="006E5059"/>
    <w:rsid w:val="006E5D0F"/>
    <w:rsid w:val="006E6068"/>
    <w:rsid w:val="006E6111"/>
    <w:rsid w:val="006E7367"/>
    <w:rsid w:val="006F576B"/>
    <w:rsid w:val="006F63D5"/>
    <w:rsid w:val="00700776"/>
    <w:rsid w:val="00702DAE"/>
    <w:rsid w:val="00704EFA"/>
    <w:rsid w:val="00704FAF"/>
    <w:rsid w:val="0071089E"/>
    <w:rsid w:val="0071383A"/>
    <w:rsid w:val="00714ED1"/>
    <w:rsid w:val="00715159"/>
    <w:rsid w:val="00720832"/>
    <w:rsid w:val="00721C8A"/>
    <w:rsid w:val="007239B2"/>
    <w:rsid w:val="00726D76"/>
    <w:rsid w:val="00730516"/>
    <w:rsid w:val="00732151"/>
    <w:rsid w:val="007339E3"/>
    <w:rsid w:val="00734103"/>
    <w:rsid w:val="00734910"/>
    <w:rsid w:val="00734E15"/>
    <w:rsid w:val="0073670F"/>
    <w:rsid w:val="00736A89"/>
    <w:rsid w:val="00737604"/>
    <w:rsid w:val="00740A27"/>
    <w:rsid w:val="0074387A"/>
    <w:rsid w:val="00745404"/>
    <w:rsid w:val="00745AB0"/>
    <w:rsid w:val="007530C9"/>
    <w:rsid w:val="0075625D"/>
    <w:rsid w:val="00756501"/>
    <w:rsid w:val="00762799"/>
    <w:rsid w:val="00764FD0"/>
    <w:rsid w:val="00765365"/>
    <w:rsid w:val="00774062"/>
    <w:rsid w:val="0077536A"/>
    <w:rsid w:val="00775E5C"/>
    <w:rsid w:val="00782F3F"/>
    <w:rsid w:val="0078363C"/>
    <w:rsid w:val="007856E8"/>
    <w:rsid w:val="00790DCD"/>
    <w:rsid w:val="00793A56"/>
    <w:rsid w:val="0079453D"/>
    <w:rsid w:val="00797926"/>
    <w:rsid w:val="007A0461"/>
    <w:rsid w:val="007A271C"/>
    <w:rsid w:val="007B02A6"/>
    <w:rsid w:val="007B0C89"/>
    <w:rsid w:val="007B189E"/>
    <w:rsid w:val="007B28F1"/>
    <w:rsid w:val="007B4216"/>
    <w:rsid w:val="007B5972"/>
    <w:rsid w:val="007B7BC2"/>
    <w:rsid w:val="007C03FB"/>
    <w:rsid w:val="007C0F68"/>
    <w:rsid w:val="007C7063"/>
    <w:rsid w:val="007C738B"/>
    <w:rsid w:val="007C74B4"/>
    <w:rsid w:val="007D2563"/>
    <w:rsid w:val="007D4514"/>
    <w:rsid w:val="007D4568"/>
    <w:rsid w:val="007D68C3"/>
    <w:rsid w:val="007E358A"/>
    <w:rsid w:val="007E59BD"/>
    <w:rsid w:val="007E6926"/>
    <w:rsid w:val="007F0CCD"/>
    <w:rsid w:val="007F39A5"/>
    <w:rsid w:val="007F4539"/>
    <w:rsid w:val="007F4F77"/>
    <w:rsid w:val="0080005B"/>
    <w:rsid w:val="00801FA8"/>
    <w:rsid w:val="00802362"/>
    <w:rsid w:val="00802D69"/>
    <w:rsid w:val="00803D7E"/>
    <w:rsid w:val="00804A3D"/>
    <w:rsid w:val="00807B7D"/>
    <w:rsid w:val="00811C8B"/>
    <w:rsid w:val="0081472E"/>
    <w:rsid w:val="00815965"/>
    <w:rsid w:val="00815F58"/>
    <w:rsid w:val="00817366"/>
    <w:rsid w:val="008207AE"/>
    <w:rsid w:val="0082658B"/>
    <w:rsid w:val="00826FF6"/>
    <w:rsid w:val="00832AE5"/>
    <w:rsid w:val="008344AA"/>
    <w:rsid w:val="00834E8C"/>
    <w:rsid w:val="00835A08"/>
    <w:rsid w:val="00843924"/>
    <w:rsid w:val="00846160"/>
    <w:rsid w:val="00860B9D"/>
    <w:rsid w:val="0086587F"/>
    <w:rsid w:val="00867E39"/>
    <w:rsid w:val="00871527"/>
    <w:rsid w:val="008749A8"/>
    <w:rsid w:val="0087772B"/>
    <w:rsid w:val="008804F2"/>
    <w:rsid w:val="00880CEA"/>
    <w:rsid w:val="00881FFD"/>
    <w:rsid w:val="00882101"/>
    <w:rsid w:val="00882E78"/>
    <w:rsid w:val="00883DB3"/>
    <w:rsid w:val="00887B68"/>
    <w:rsid w:val="00890C82"/>
    <w:rsid w:val="008911C3"/>
    <w:rsid w:val="00891CA4"/>
    <w:rsid w:val="00894450"/>
    <w:rsid w:val="008A07C5"/>
    <w:rsid w:val="008A4056"/>
    <w:rsid w:val="008A6B07"/>
    <w:rsid w:val="008A75B4"/>
    <w:rsid w:val="008B1D17"/>
    <w:rsid w:val="008B5D0A"/>
    <w:rsid w:val="008C4326"/>
    <w:rsid w:val="008D0B10"/>
    <w:rsid w:val="008D23E0"/>
    <w:rsid w:val="008D409D"/>
    <w:rsid w:val="008E31A0"/>
    <w:rsid w:val="008E6203"/>
    <w:rsid w:val="008E6C79"/>
    <w:rsid w:val="008E7B11"/>
    <w:rsid w:val="008F1A67"/>
    <w:rsid w:val="008F210C"/>
    <w:rsid w:val="008F3477"/>
    <w:rsid w:val="008F429F"/>
    <w:rsid w:val="008F5C9D"/>
    <w:rsid w:val="008F6FC9"/>
    <w:rsid w:val="008F784C"/>
    <w:rsid w:val="008F7A98"/>
    <w:rsid w:val="00905180"/>
    <w:rsid w:val="00907693"/>
    <w:rsid w:val="009106F3"/>
    <w:rsid w:val="0091312C"/>
    <w:rsid w:val="00913150"/>
    <w:rsid w:val="009249EF"/>
    <w:rsid w:val="0092645B"/>
    <w:rsid w:val="00927A8F"/>
    <w:rsid w:val="009312DE"/>
    <w:rsid w:val="009353A8"/>
    <w:rsid w:val="009366C0"/>
    <w:rsid w:val="00937C39"/>
    <w:rsid w:val="0094488F"/>
    <w:rsid w:val="00945146"/>
    <w:rsid w:val="00950C8D"/>
    <w:rsid w:val="009546B0"/>
    <w:rsid w:val="00954D67"/>
    <w:rsid w:val="00954EAE"/>
    <w:rsid w:val="00956819"/>
    <w:rsid w:val="00961654"/>
    <w:rsid w:val="009628BC"/>
    <w:rsid w:val="0096328A"/>
    <w:rsid w:val="00965F79"/>
    <w:rsid w:val="00977AA9"/>
    <w:rsid w:val="00987282"/>
    <w:rsid w:val="009872A2"/>
    <w:rsid w:val="00992225"/>
    <w:rsid w:val="0099262F"/>
    <w:rsid w:val="00992A10"/>
    <w:rsid w:val="00993F95"/>
    <w:rsid w:val="00994B0E"/>
    <w:rsid w:val="009959B0"/>
    <w:rsid w:val="00996574"/>
    <w:rsid w:val="00997E5D"/>
    <w:rsid w:val="009A3E8D"/>
    <w:rsid w:val="009A3EC2"/>
    <w:rsid w:val="009A5578"/>
    <w:rsid w:val="009A5625"/>
    <w:rsid w:val="009A58E1"/>
    <w:rsid w:val="009A71D3"/>
    <w:rsid w:val="009B12F6"/>
    <w:rsid w:val="009B263E"/>
    <w:rsid w:val="009C150C"/>
    <w:rsid w:val="009C6366"/>
    <w:rsid w:val="009D66E0"/>
    <w:rsid w:val="009D6F61"/>
    <w:rsid w:val="009D7743"/>
    <w:rsid w:val="009E1FA7"/>
    <w:rsid w:val="009E4400"/>
    <w:rsid w:val="009E4C62"/>
    <w:rsid w:val="009E5971"/>
    <w:rsid w:val="009E783F"/>
    <w:rsid w:val="009F0857"/>
    <w:rsid w:val="009F3192"/>
    <w:rsid w:val="009F4066"/>
    <w:rsid w:val="009F7155"/>
    <w:rsid w:val="009F71CE"/>
    <w:rsid w:val="00A06498"/>
    <w:rsid w:val="00A10F35"/>
    <w:rsid w:val="00A11EC7"/>
    <w:rsid w:val="00A17998"/>
    <w:rsid w:val="00A2641E"/>
    <w:rsid w:val="00A3071F"/>
    <w:rsid w:val="00A31A3D"/>
    <w:rsid w:val="00A32003"/>
    <w:rsid w:val="00A33621"/>
    <w:rsid w:val="00A34096"/>
    <w:rsid w:val="00A35A0A"/>
    <w:rsid w:val="00A35AC0"/>
    <w:rsid w:val="00A36D8D"/>
    <w:rsid w:val="00A41E04"/>
    <w:rsid w:val="00A43E3C"/>
    <w:rsid w:val="00A45900"/>
    <w:rsid w:val="00A45F9B"/>
    <w:rsid w:val="00A4797E"/>
    <w:rsid w:val="00A50C23"/>
    <w:rsid w:val="00A533EF"/>
    <w:rsid w:val="00A55D0C"/>
    <w:rsid w:val="00A6145A"/>
    <w:rsid w:val="00A6229C"/>
    <w:rsid w:val="00A63B7B"/>
    <w:rsid w:val="00A64932"/>
    <w:rsid w:val="00A65584"/>
    <w:rsid w:val="00A6590A"/>
    <w:rsid w:val="00A66797"/>
    <w:rsid w:val="00A75C8B"/>
    <w:rsid w:val="00A76880"/>
    <w:rsid w:val="00A76AB2"/>
    <w:rsid w:val="00A833A1"/>
    <w:rsid w:val="00A847EF"/>
    <w:rsid w:val="00A86803"/>
    <w:rsid w:val="00A868D1"/>
    <w:rsid w:val="00A94FB6"/>
    <w:rsid w:val="00AA2731"/>
    <w:rsid w:val="00AA4917"/>
    <w:rsid w:val="00AB06FB"/>
    <w:rsid w:val="00AB58AB"/>
    <w:rsid w:val="00AC5A33"/>
    <w:rsid w:val="00AD05E3"/>
    <w:rsid w:val="00AD1451"/>
    <w:rsid w:val="00AD1701"/>
    <w:rsid w:val="00AD49C3"/>
    <w:rsid w:val="00AE02C9"/>
    <w:rsid w:val="00AE6C06"/>
    <w:rsid w:val="00AF2E3F"/>
    <w:rsid w:val="00AF6DF2"/>
    <w:rsid w:val="00B027CF"/>
    <w:rsid w:val="00B03BB8"/>
    <w:rsid w:val="00B06B21"/>
    <w:rsid w:val="00B07082"/>
    <w:rsid w:val="00B14F4C"/>
    <w:rsid w:val="00B15775"/>
    <w:rsid w:val="00B20105"/>
    <w:rsid w:val="00B21577"/>
    <w:rsid w:val="00B22E74"/>
    <w:rsid w:val="00B23B5A"/>
    <w:rsid w:val="00B24308"/>
    <w:rsid w:val="00B27BB1"/>
    <w:rsid w:val="00B30486"/>
    <w:rsid w:val="00B3158E"/>
    <w:rsid w:val="00B34D28"/>
    <w:rsid w:val="00B35704"/>
    <w:rsid w:val="00B35DCB"/>
    <w:rsid w:val="00B363E5"/>
    <w:rsid w:val="00B366F5"/>
    <w:rsid w:val="00B37A90"/>
    <w:rsid w:val="00B37C06"/>
    <w:rsid w:val="00B4517C"/>
    <w:rsid w:val="00B45C46"/>
    <w:rsid w:val="00B53426"/>
    <w:rsid w:val="00B5420D"/>
    <w:rsid w:val="00B55651"/>
    <w:rsid w:val="00B5689F"/>
    <w:rsid w:val="00B62ED4"/>
    <w:rsid w:val="00B64B98"/>
    <w:rsid w:val="00B6720E"/>
    <w:rsid w:val="00B70BEC"/>
    <w:rsid w:val="00B73650"/>
    <w:rsid w:val="00B74A46"/>
    <w:rsid w:val="00B74EF3"/>
    <w:rsid w:val="00B77341"/>
    <w:rsid w:val="00B80BE1"/>
    <w:rsid w:val="00B82609"/>
    <w:rsid w:val="00B83297"/>
    <w:rsid w:val="00B86509"/>
    <w:rsid w:val="00B86600"/>
    <w:rsid w:val="00B875C5"/>
    <w:rsid w:val="00B90A63"/>
    <w:rsid w:val="00B923F5"/>
    <w:rsid w:val="00B9596F"/>
    <w:rsid w:val="00BA108B"/>
    <w:rsid w:val="00BA15D4"/>
    <w:rsid w:val="00BB0B4D"/>
    <w:rsid w:val="00BB1687"/>
    <w:rsid w:val="00BB33A3"/>
    <w:rsid w:val="00BB6791"/>
    <w:rsid w:val="00BB7B81"/>
    <w:rsid w:val="00BB7F4F"/>
    <w:rsid w:val="00BC0EFF"/>
    <w:rsid w:val="00BC2905"/>
    <w:rsid w:val="00BC2B3F"/>
    <w:rsid w:val="00BC3814"/>
    <w:rsid w:val="00BC4609"/>
    <w:rsid w:val="00BC64F7"/>
    <w:rsid w:val="00BD15DD"/>
    <w:rsid w:val="00BD4803"/>
    <w:rsid w:val="00BD5AC7"/>
    <w:rsid w:val="00BD5B29"/>
    <w:rsid w:val="00BD6058"/>
    <w:rsid w:val="00BD66AA"/>
    <w:rsid w:val="00BE0C28"/>
    <w:rsid w:val="00BE105A"/>
    <w:rsid w:val="00BE56E9"/>
    <w:rsid w:val="00BF41F6"/>
    <w:rsid w:val="00BF4956"/>
    <w:rsid w:val="00BF5B1F"/>
    <w:rsid w:val="00BF6435"/>
    <w:rsid w:val="00C03DEF"/>
    <w:rsid w:val="00C060FB"/>
    <w:rsid w:val="00C07A7C"/>
    <w:rsid w:val="00C11503"/>
    <w:rsid w:val="00C1587D"/>
    <w:rsid w:val="00C22652"/>
    <w:rsid w:val="00C23727"/>
    <w:rsid w:val="00C23BC3"/>
    <w:rsid w:val="00C26EF5"/>
    <w:rsid w:val="00C27A7A"/>
    <w:rsid w:val="00C3134B"/>
    <w:rsid w:val="00C33B3F"/>
    <w:rsid w:val="00C33C04"/>
    <w:rsid w:val="00C36593"/>
    <w:rsid w:val="00C400E2"/>
    <w:rsid w:val="00C437D4"/>
    <w:rsid w:val="00C43A19"/>
    <w:rsid w:val="00C4456F"/>
    <w:rsid w:val="00C52159"/>
    <w:rsid w:val="00C5288C"/>
    <w:rsid w:val="00C52E5A"/>
    <w:rsid w:val="00C53418"/>
    <w:rsid w:val="00C53CBA"/>
    <w:rsid w:val="00C55E41"/>
    <w:rsid w:val="00C56217"/>
    <w:rsid w:val="00C6217E"/>
    <w:rsid w:val="00C62A40"/>
    <w:rsid w:val="00C64857"/>
    <w:rsid w:val="00C64EB6"/>
    <w:rsid w:val="00C651FA"/>
    <w:rsid w:val="00C66A29"/>
    <w:rsid w:val="00C71ED2"/>
    <w:rsid w:val="00C73C00"/>
    <w:rsid w:val="00C745D8"/>
    <w:rsid w:val="00C83B77"/>
    <w:rsid w:val="00C936C0"/>
    <w:rsid w:val="00C9498D"/>
    <w:rsid w:val="00C96FE3"/>
    <w:rsid w:val="00CA0208"/>
    <w:rsid w:val="00CA0DB9"/>
    <w:rsid w:val="00CA6287"/>
    <w:rsid w:val="00CA6E23"/>
    <w:rsid w:val="00CA724B"/>
    <w:rsid w:val="00CB062F"/>
    <w:rsid w:val="00CB1ABF"/>
    <w:rsid w:val="00CB46FF"/>
    <w:rsid w:val="00CB667B"/>
    <w:rsid w:val="00CC0199"/>
    <w:rsid w:val="00CC1238"/>
    <w:rsid w:val="00CD7041"/>
    <w:rsid w:val="00CD70A7"/>
    <w:rsid w:val="00CE001C"/>
    <w:rsid w:val="00CE027F"/>
    <w:rsid w:val="00CE2E5E"/>
    <w:rsid w:val="00CE4172"/>
    <w:rsid w:val="00CE535A"/>
    <w:rsid w:val="00CE7C45"/>
    <w:rsid w:val="00CF332B"/>
    <w:rsid w:val="00CF633C"/>
    <w:rsid w:val="00CF6AA0"/>
    <w:rsid w:val="00CF7892"/>
    <w:rsid w:val="00CF7E83"/>
    <w:rsid w:val="00D01A47"/>
    <w:rsid w:val="00D04663"/>
    <w:rsid w:val="00D060C6"/>
    <w:rsid w:val="00D06D06"/>
    <w:rsid w:val="00D079E7"/>
    <w:rsid w:val="00D07B58"/>
    <w:rsid w:val="00D12539"/>
    <w:rsid w:val="00D139D8"/>
    <w:rsid w:val="00D24961"/>
    <w:rsid w:val="00D277B8"/>
    <w:rsid w:val="00D30507"/>
    <w:rsid w:val="00D310EE"/>
    <w:rsid w:val="00D3261B"/>
    <w:rsid w:val="00D32860"/>
    <w:rsid w:val="00D32C52"/>
    <w:rsid w:val="00D36B01"/>
    <w:rsid w:val="00D42189"/>
    <w:rsid w:val="00D431DD"/>
    <w:rsid w:val="00D45005"/>
    <w:rsid w:val="00D46351"/>
    <w:rsid w:val="00D50C14"/>
    <w:rsid w:val="00D51AA7"/>
    <w:rsid w:val="00D60B19"/>
    <w:rsid w:val="00D630B4"/>
    <w:rsid w:val="00D6334A"/>
    <w:rsid w:val="00D637F9"/>
    <w:rsid w:val="00D63A86"/>
    <w:rsid w:val="00D6764D"/>
    <w:rsid w:val="00D676ED"/>
    <w:rsid w:val="00D70FA1"/>
    <w:rsid w:val="00D7288D"/>
    <w:rsid w:val="00D757F0"/>
    <w:rsid w:val="00D76DEA"/>
    <w:rsid w:val="00D81C26"/>
    <w:rsid w:val="00D85AF3"/>
    <w:rsid w:val="00D873D7"/>
    <w:rsid w:val="00D9306C"/>
    <w:rsid w:val="00D93349"/>
    <w:rsid w:val="00D9627A"/>
    <w:rsid w:val="00D96F10"/>
    <w:rsid w:val="00D971D9"/>
    <w:rsid w:val="00DA346F"/>
    <w:rsid w:val="00DA72DC"/>
    <w:rsid w:val="00DB0BAF"/>
    <w:rsid w:val="00DB1054"/>
    <w:rsid w:val="00DB15E5"/>
    <w:rsid w:val="00DB395C"/>
    <w:rsid w:val="00DB3A21"/>
    <w:rsid w:val="00DB5CBA"/>
    <w:rsid w:val="00DB7704"/>
    <w:rsid w:val="00DC3327"/>
    <w:rsid w:val="00DC4E70"/>
    <w:rsid w:val="00DC65E5"/>
    <w:rsid w:val="00DC7C95"/>
    <w:rsid w:val="00DC7FC4"/>
    <w:rsid w:val="00DD0B00"/>
    <w:rsid w:val="00DD23EE"/>
    <w:rsid w:val="00DD4D5F"/>
    <w:rsid w:val="00DD588E"/>
    <w:rsid w:val="00DD58D6"/>
    <w:rsid w:val="00DE0C94"/>
    <w:rsid w:val="00DE18F7"/>
    <w:rsid w:val="00DE232E"/>
    <w:rsid w:val="00DE2A85"/>
    <w:rsid w:val="00DE2AA7"/>
    <w:rsid w:val="00DE50AA"/>
    <w:rsid w:val="00DE7894"/>
    <w:rsid w:val="00DF4F65"/>
    <w:rsid w:val="00DF605E"/>
    <w:rsid w:val="00DF76E2"/>
    <w:rsid w:val="00E011B3"/>
    <w:rsid w:val="00E02E93"/>
    <w:rsid w:val="00E04F19"/>
    <w:rsid w:val="00E11082"/>
    <w:rsid w:val="00E139FA"/>
    <w:rsid w:val="00E16C5A"/>
    <w:rsid w:val="00E21945"/>
    <w:rsid w:val="00E2679B"/>
    <w:rsid w:val="00E2698A"/>
    <w:rsid w:val="00E30B25"/>
    <w:rsid w:val="00E317EB"/>
    <w:rsid w:val="00E3223D"/>
    <w:rsid w:val="00E32BC6"/>
    <w:rsid w:val="00E33F9D"/>
    <w:rsid w:val="00E35F36"/>
    <w:rsid w:val="00E412B0"/>
    <w:rsid w:val="00E415AC"/>
    <w:rsid w:val="00E41920"/>
    <w:rsid w:val="00E42A0E"/>
    <w:rsid w:val="00E46186"/>
    <w:rsid w:val="00E61881"/>
    <w:rsid w:val="00E66A94"/>
    <w:rsid w:val="00E66FAC"/>
    <w:rsid w:val="00E71083"/>
    <w:rsid w:val="00E7142C"/>
    <w:rsid w:val="00E72AF4"/>
    <w:rsid w:val="00E81CD7"/>
    <w:rsid w:val="00E848A5"/>
    <w:rsid w:val="00E8789D"/>
    <w:rsid w:val="00E9292C"/>
    <w:rsid w:val="00E92D2A"/>
    <w:rsid w:val="00E96414"/>
    <w:rsid w:val="00E96677"/>
    <w:rsid w:val="00E96AAD"/>
    <w:rsid w:val="00E96F8D"/>
    <w:rsid w:val="00E97FBC"/>
    <w:rsid w:val="00EA06A2"/>
    <w:rsid w:val="00EA2594"/>
    <w:rsid w:val="00EA2C29"/>
    <w:rsid w:val="00EA3768"/>
    <w:rsid w:val="00EA4E44"/>
    <w:rsid w:val="00EA54EB"/>
    <w:rsid w:val="00EA570C"/>
    <w:rsid w:val="00EA69BD"/>
    <w:rsid w:val="00EA7AC4"/>
    <w:rsid w:val="00EB0687"/>
    <w:rsid w:val="00EB3124"/>
    <w:rsid w:val="00EB3B21"/>
    <w:rsid w:val="00EB5B45"/>
    <w:rsid w:val="00EB6305"/>
    <w:rsid w:val="00EB638F"/>
    <w:rsid w:val="00EC362A"/>
    <w:rsid w:val="00ED1570"/>
    <w:rsid w:val="00ED3773"/>
    <w:rsid w:val="00ED3D66"/>
    <w:rsid w:val="00ED648E"/>
    <w:rsid w:val="00EE3C92"/>
    <w:rsid w:val="00EE458C"/>
    <w:rsid w:val="00EE4F75"/>
    <w:rsid w:val="00EE5126"/>
    <w:rsid w:val="00EE585A"/>
    <w:rsid w:val="00EE609E"/>
    <w:rsid w:val="00EF00D1"/>
    <w:rsid w:val="00EF0C27"/>
    <w:rsid w:val="00EF1C19"/>
    <w:rsid w:val="00EF4D2B"/>
    <w:rsid w:val="00F03496"/>
    <w:rsid w:val="00F06A8B"/>
    <w:rsid w:val="00F06D97"/>
    <w:rsid w:val="00F0711D"/>
    <w:rsid w:val="00F10089"/>
    <w:rsid w:val="00F10A29"/>
    <w:rsid w:val="00F12356"/>
    <w:rsid w:val="00F15D4E"/>
    <w:rsid w:val="00F206D8"/>
    <w:rsid w:val="00F20742"/>
    <w:rsid w:val="00F21687"/>
    <w:rsid w:val="00F24937"/>
    <w:rsid w:val="00F25BDD"/>
    <w:rsid w:val="00F31CA2"/>
    <w:rsid w:val="00F32610"/>
    <w:rsid w:val="00F349B1"/>
    <w:rsid w:val="00F36429"/>
    <w:rsid w:val="00F37F63"/>
    <w:rsid w:val="00F37FB7"/>
    <w:rsid w:val="00F37FE6"/>
    <w:rsid w:val="00F405B8"/>
    <w:rsid w:val="00F40831"/>
    <w:rsid w:val="00F40C92"/>
    <w:rsid w:val="00F41533"/>
    <w:rsid w:val="00F422BC"/>
    <w:rsid w:val="00F43F4B"/>
    <w:rsid w:val="00F45E99"/>
    <w:rsid w:val="00F46AF8"/>
    <w:rsid w:val="00F5398D"/>
    <w:rsid w:val="00F56D6F"/>
    <w:rsid w:val="00F5778D"/>
    <w:rsid w:val="00F61D03"/>
    <w:rsid w:val="00F67698"/>
    <w:rsid w:val="00F70072"/>
    <w:rsid w:val="00F715DC"/>
    <w:rsid w:val="00F751A4"/>
    <w:rsid w:val="00F766EB"/>
    <w:rsid w:val="00F77254"/>
    <w:rsid w:val="00F80AD7"/>
    <w:rsid w:val="00F81B8C"/>
    <w:rsid w:val="00F81DD2"/>
    <w:rsid w:val="00F838A6"/>
    <w:rsid w:val="00F8664B"/>
    <w:rsid w:val="00F907B7"/>
    <w:rsid w:val="00F90DB3"/>
    <w:rsid w:val="00F9196A"/>
    <w:rsid w:val="00F92650"/>
    <w:rsid w:val="00F92B0B"/>
    <w:rsid w:val="00F93BDD"/>
    <w:rsid w:val="00F941F5"/>
    <w:rsid w:val="00F94BDA"/>
    <w:rsid w:val="00F9549F"/>
    <w:rsid w:val="00F95F5C"/>
    <w:rsid w:val="00F96560"/>
    <w:rsid w:val="00F967B1"/>
    <w:rsid w:val="00F97B7B"/>
    <w:rsid w:val="00FA2E15"/>
    <w:rsid w:val="00FA2F6E"/>
    <w:rsid w:val="00FB083B"/>
    <w:rsid w:val="00FB0A52"/>
    <w:rsid w:val="00FB1C5D"/>
    <w:rsid w:val="00FB1EDF"/>
    <w:rsid w:val="00FB6CCB"/>
    <w:rsid w:val="00FB7427"/>
    <w:rsid w:val="00FC18F3"/>
    <w:rsid w:val="00FC37E7"/>
    <w:rsid w:val="00FD120A"/>
    <w:rsid w:val="00FD14CB"/>
    <w:rsid w:val="00FD691A"/>
    <w:rsid w:val="00FD6FAA"/>
    <w:rsid w:val="00FD7131"/>
    <w:rsid w:val="00FE029D"/>
    <w:rsid w:val="00FE16AA"/>
    <w:rsid w:val="00FE62F9"/>
    <w:rsid w:val="00FE678F"/>
    <w:rsid w:val="00FE67F9"/>
    <w:rsid w:val="00FE6B50"/>
    <w:rsid w:val="00FE6E83"/>
    <w:rsid w:val="00FF02FF"/>
    <w:rsid w:val="00FF1B47"/>
    <w:rsid w:val="00FF3046"/>
    <w:rsid w:val="00FF4CDF"/>
    <w:rsid w:val="00FF75CC"/>
    <w:rsid w:val="01C113F5"/>
    <w:rsid w:val="03139749"/>
    <w:rsid w:val="04A18286"/>
    <w:rsid w:val="0E2801D3"/>
    <w:rsid w:val="108B92C9"/>
    <w:rsid w:val="10A0B033"/>
    <w:rsid w:val="1F1C1F45"/>
    <w:rsid w:val="354EE844"/>
    <w:rsid w:val="3D87F4C5"/>
    <w:rsid w:val="4EAF966B"/>
    <w:rsid w:val="537A9B19"/>
    <w:rsid w:val="5CFBFD29"/>
    <w:rsid w:val="5D946A9E"/>
    <w:rsid w:val="6033B996"/>
    <w:rsid w:val="607EE5EB"/>
    <w:rsid w:val="66B58ABC"/>
    <w:rsid w:val="699FD3AD"/>
    <w:rsid w:val="6C51C426"/>
    <w:rsid w:val="7C0D874A"/>
    <w:rsid w:val="7FC4C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536F4"/>
  <w15:docId w15:val="{3DAFA3C1-2BAC-4957-A3DD-BEF7DD1A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9BD"/>
    <w:pPr>
      <w:spacing w:after="0"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59BD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E59BD"/>
    <w:pPr>
      <w:keepNext/>
      <w:keepLines/>
      <w:spacing w:before="4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E59BD"/>
    <w:pPr>
      <w:numPr>
        <w:ilvl w:val="6"/>
        <w:numId w:val="31"/>
      </w:numPr>
      <w:spacing w:before="120" w:after="120" w:line="240" w:lineRule="auto"/>
      <w:outlineLvl w:val="6"/>
    </w:pPr>
    <w:rPr>
      <w:rFonts w:eastAsia="Times New Roman" w:cs="Times New Roman"/>
      <w:b/>
      <w:vanish/>
      <w:color w:val="FF000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E59BD"/>
    <w:pPr>
      <w:numPr>
        <w:ilvl w:val="8"/>
        <w:numId w:val="31"/>
      </w:numPr>
      <w:spacing w:before="240" w:after="60" w:line="240" w:lineRule="auto"/>
      <w:jc w:val="left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59BD"/>
    <w:rPr>
      <w:rFonts w:ascii="Cambria" w:eastAsia="Times New Roman" w:hAnsi="Cambria"/>
      <w:b/>
      <w:bCs/>
      <w:color w:val="365F91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7E59BD"/>
    <w:rPr>
      <w:rFonts w:ascii="Cambria" w:eastAsia="Times New Roman" w:hAnsi="Cambria"/>
      <w:color w:val="243F6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7E59BD"/>
    <w:rPr>
      <w:rFonts w:ascii="Arial" w:eastAsia="Times New Roman" w:hAnsi="Arial"/>
      <w:b/>
      <w:vanish/>
      <w:color w:val="FF0000"/>
      <w:sz w:val="22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7E59BD"/>
    <w:rPr>
      <w:rFonts w:ascii="Cambria" w:eastAsia="Times New Roman" w:hAnsi="Cambria"/>
      <w:sz w:val="22"/>
      <w:szCs w:val="22"/>
      <w:lang w:eastAsia="ar-SA"/>
    </w:rPr>
  </w:style>
  <w:style w:type="character" w:styleId="Pogrubienie">
    <w:name w:val="Strong"/>
    <w:uiPriority w:val="99"/>
    <w:qFormat/>
    <w:rsid w:val="007E59BD"/>
    <w:rPr>
      <w:rFonts w:cs="Times New Roman"/>
      <w:b/>
      <w:bCs/>
    </w:rPr>
  </w:style>
  <w:style w:type="paragraph" w:customStyle="1" w:styleId="Znak1">
    <w:name w:val="Znak1"/>
    <w:basedOn w:val="Normalny"/>
    <w:uiPriority w:val="99"/>
    <w:rsid w:val="007E59BD"/>
    <w:pPr>
      <w:spacing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7E59BD"/>
    <w:pPr>
      <w:spacing w:after="200" w:line="276" w:lineRule="auto"/>
      <w:ind w:left="720"/>
      <w:jc w:val="left"/>
    </w:pPr>
    <w:rPr>
      <w:rFonts w:ascii="Calibri" w:eastAsia="Times New Roman" w:hAnsi="Calibri"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7E59BD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9BD"/>
    <w:rPr>
      <w:rFonts w:ascii="Tahoma" w:hAnsi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7E59BD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E59BD"/>
    <w:rPr>
      <w:rFonts w:ascii="Arial" w:hAnsi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E59BD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E59BD"/>
    <w:rPr>
      <w:rFonts w:ascii="Arial" w:hAnsi="Arial"/>
      <w:sz w:val="20"/>
      <w:szCs w:val="20"/>
      <w:lang w:eastAsia="pl-PL"/>
    </w:rPr>
  </w:style>
  <w:style w:type="character" w:styleId="Odwoaniedokomentarza">
    <w:name w:val="annotation reference"/>
    <w:rsid w:val="007E59B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E59BD"/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59BD"/>
    <w:rPr>
      <w:rFonts w:ascii="Arial" w:hAnsi="Arial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59BD"/>
    <w:rPr>
      <w:rFonts w:ascii="Arial" w:hAnsi="Arial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E59BD"/>
    <w:rPr>
      <w:b/>
      <w:bCs/>
    </w:rPr>
  </w:style>
  <w:style w:type="character" w:customStyle="1" w:styleId="lmenustartend">
    <w:name w:val="lmenustartend"/>
    <w:uiPriority w:val="99"/>
    <w:rsid w:val="007E59BD"/>
  </w:style>
  <w:style w:type="character" w:customStyle="1" w:styleId="oznaczenie">
    <w:name w:val="oznaczenie"/>
    <w:uiPriority w:val="99"/>
    <w:rsid w:val="007E59BD"/>
  </w:style>
  <w:style w:type="character" w:customStyle="1" w:styleId="FontStyle42">
    <w:name w:val="Font Style42"/>
    <w:uiPriority w:val="99"/>
    <w:rsid w:val="007E59BD"/>
    <w:rPr>
      <w:rFonts w:ascii="Verdana" w:hAnsi="Verdana" w:cs="Verdana"/>
      <w:sz w:val="16"/>
      <w:szCs w:val="16"/>
    </w:rPr>
  </w:style>
  <w:style w:type="character" w:customStyle="1" w:styleId="FontStyle46">
    <w:name w:val="Font Style46"/>
    <w:uiPriority w:val="99"/>
    <w:rsid w:val="007E59BD"/>
    <w:rPr>
      <w:rFonts w:ascii="Verdana" w:hAnsi="Verdana" w:cs="Verdana"/>
      <w:b/>
      <w:bCs/>
      <w:sz w:val="16"/>
      <w:szCs w:val="16"/>
    </w:rPr>
  </w:style>
  <w:style w:type="paragraph" w:customStyle="1" w:styleId="Style15">
    <w:name w:val="Style15"/>
    <w:basedOn w:val="Normalny"/>
    <w:uiPriority w:val="99"/>
    <w:rsid w:val="007E59BD"/>
    <w:pPr>
      <w:widowControl w:val="0"/>
      <w:suppressAutoHyphens/>
      <w:autoSpaceDE w:val="0"/>
      <w:spacing w:line="242" w:lineRule="exact"/>
      <w:ind w:hanging="410"/>
    </w:pPr>
    <w:rPr>
      <w:rFonts w:ascii="MS Reference Sans Serif" w:hAnsi="MS Reference Sans Serif" w:cs="MS Reference Sans Seri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7E59BD"/>
    <w:pPr>
      <w:suppressAutoHyphens/>
      <w:spacing w:after="120" w:line="480" w:lineRule="auto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7E59BD"/>
    <w:pPr>
      <w:spacing w:line="240" w:lineRule="auto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59BD"/>
    <w:rPr>
      <w:sz w:val="20"/>
      <w:szCs w:val="20"/>
      <w:lang w:eastAsia="pl-PL"/>
    </w:rPr>
  </w:style>
  <w:style w:type="paragraph" w:customStyle="1" w:styleId="ListParagraph1">
    <w:name w:val="List Paragraph1"/>
    <w:basedOn w:val="Normalny"/>
    <w:rsid w:val="007E59BD"/>
    <w:pPr>
      <w:spacing w:after="200" w:line="276" w:lineRule="auto"/>
      <w:ind w:left="720"/>
      <w:jc w:val="left"/>
    </w:pPr>
    <w:rPr>
      <w:rFonts w:ascii="Calibri" w:eastAsia="Times New Roman" w:hAnsi="Calibri" w:cs="Times New Roman"/>
      <w:lang w:eastAsia="en-US"/>
    </w:rPr>
  </w:style>
  <w:style w:type="paragraph" w:styleId="Akapitzlist">
    <w:name w:val="List Paragraph"/>
    <w:aliases w:val="Lista punktowana1,Lista punktowana2,Lista punktowana3,List bullet"/>
    <w:basedOn w:val="Normalny"/>
    <w:link w:val="AkapitzlistZnak"/>
    <w:uiPriority w:val="34"/>
    <w:qFormat/>
    <w:rsid w:val="007E59BD"/>
    <w:pPr>
      <w:spacing w:after="200" w:line="276" w:lineRule="auto"/>
      <w:ind w:left="720"/>
      <w:contextualSpacing/>
      <w:jc w:val="left"/>
    </w:pPr>
    <w:rPr>
      <w:rFonts w:ascii="Calibri" w:hAnsi="Calibri" w:cs="Times New Roman"/>
      <w:lang w:eastAsia="en-US"/>
    </w:rPr>
  </w:style>
  <w:style w:type="character" w:customStyle="1" w:styleId="h2">
    <w:name w:val="h2"/>
    <w:basedOn w:val="Domylnaczcionkaakapitu"/>
    <w:uiPriority w:val="99"/>
    <w:rsid w:val="007E59BD"/>
  </w:style>
  <w:style w:type="character" w:customStyle="1" w:styleId="h1">
    <w:name w:val="h1"/>
    <w:basedOn w:val="Domylnaczcionkaakapitu"/>
    <w:uiPriority w:val="99"/>
    <w:rsid w:val="007E59BD"/>
  </w:style>
  <w:style w:type="paragraph" w:customStyle="1" w:styleId="Tekstpodstawowy31">
    <w:name w:val="Tekst podstawowy 31"/>
    <w:basedOn w:val="Normalny"/>
    <w:uiPriority w:val="99"/>
    <w:rsid w:val="007E59BD"/>
    <w:pPr>
      <w:widowControl w:val="0"/>
      <w:suppressAutoHyphens/>
      <w:autoSpaceDE w:val="0"/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paragraph" w:customStyle="1" w:styleId="Styl1">
    <w:name w:val="Styl1"/>
    <w:basedOn w:val="Normalny"/>
    <w:uiPriority w:val="99"/>
    <w:rsid w:val="007E59BD"/>
    <w:pPr>
      <w:widowControl w:val="0"/>
      <w:autoSpaceDE w:val="0"/>
      <w:autoSpaceDN w:val="0"/>
      <w:spacing w:before="240" w:line="240" w:lineRule="auto"/>
    </w:pPr>
    <w:rPr>
      <w:rFonts w:eastAsia="Times New Roman"/>
      <w:sz w:val="24"/>
      <w:szCs w:val="24"/>
    </w:rPr>
  </w:style>
  <w:style w:type="paragraph" w:customStyle="1" w:styleId="Default">
    <w:name w:val="Default"/>
    <w:uiPriority w:val="99"/>
    <w:rsid w:val="007E59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59BD"/>
    <w:rPr>
      <w:rFonts w:ascii="Arial" w:hAnsi="Arial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E59BD"/>
    <w:pPr>
      <w:spacing w:line="240" w:lineRule="auto"/>
    </w:pPr>
    <w:rPr>
      <w:sz w:val="20"/>
      <w:szCs w:val="20"/>
    </w:rPr>
  </w:style>
  <w:style w:type="paragraph" w:customStyle="1" w:styleId="DZPNaglowek1">
    <w:name w:val="DZPNaglowek 1"/>
    <w:basedOn w:val="Normalny"/>
    <w:next w:val="Normalny"/>
    <w:autoRedefine/>
    <w:uiPriority w:val="99"/>
    <w:locked/>
    <w:rsid w:val="007E59BD"/>
    <w:pPr>
      <w:keepNext/>
      <w:keepLines/>
      <w:tabs>
        <w:tab w:val="num" w:pos="567"/>
      </w:tabs>
      <w:suppressAutoHyphens/>
      <w:spacing w:before="360" w:after="240" w:line="288" w:lineRule="auto"/>
      <w:ind w:left="567" w:hanging="567"/>
      <w:outlineLvl w:val="0"/>
    </w:pPr>
    <w:rPr>
      <w:rFonts w:eastAsia="Times New Roman" w:cs="Times New Roman"/>
      <w:b/>
      <w:caps/>
      <w:kern w:val="28"/>
      <w:szCs w:val="20"/>
      <w:lang w:eastAsia="en-US"/>
    </w:rPr>
  </w:style>
  <w:style w:type="paragraph" w:customStyle="1" w:styleId="DZPNaglowek2">
    <w:name w:val="DZPNaglowek 2"/>
    <w:basedOn w:val="Normalny"/>
    <w:next w:val="Normalny"/>
    <w:uiPriority w:val="99"/>
    <w:rsid w:val="007E59BD"/>
    <w:pPr>
      <w:tabs>
        <w:tab w:val="num" w:pos="567"/>
      </w:tabs>
      <w:suppressAutoHyphens/>
      <w:spacing w:before="240" w:after="120" w:line="288" w:lineRule="auto"/>
      <w:ind w:left="567" w:hanging="567"/>
      <w:outlineLvl w:val="1"/>
    </w:pPr>
    <w:rPr>
      <w:rFonts w:eastAsia="Times New Roman" w:cs="Times New Roman"/>
      <w:szCs w:val="20"/>
      <w:lang w:eastAsia="en-US"/>
    </w:rPr>
  </w:style>
  <w:style w:type="paragraph" w:customStyle="1" w:styleId="DZPNaglowek3">
    <w:name w:val="DZPNaglowek 3"/>
    <w:basedOn w:val="Normalny"/>
    <w:next w:val="Normalny"/>
    <w:uiPriority w:val="99"/>
    <w:rsid w:val="007E59BD"/>
    <w:pPr>
      <w:tabs>
        <w:tab w:val="num" w:pos="1418"/>
      </w:tabs>
      <w:suppressAutoHyphens/>
      <w:spacing w:before="80" w:after="40" w:line="288" w:lineRule="auto"/>
      <w:ind w:left="1418" w:hanging="851"/>
      <w:outlineLvl w:val="2"/>
    </w:pPr>
    <w:rPr>
      <w:rFonts w:eastAsia="Times New Roman" w:cs="Times New Roman"/>
      <w:szCs w:val="20"/>
      <w:lang w:eastAsia="en-US"/>
    </w:rPr>
  </w:style>
  <w:style w:type="paragraph" w:customStyle="1" w:styleId="DZPNaglowek4">
    <w:name w:val="DZPNaglowek 4"/>
    <w:basedOn w:val="Normalny"/>
    <w:next w:val="Normalny"/>
    <w:autoRedefine/>
    <w:uiPriority w:val="99"/>
    <w:rsid w:val="007E59BD"/>
    <w:pPr>
      <w:tabs>
        <w:tab w:val="num" w:pos="1418"/>
      </w:tabs>
      <w:spacing w:line="288" w:lineRule="auto"/>
      <w:ind w:left="1418" w:hanging="851"/>
      <w:outlineLvl w:val="3"/>
    </w:pPr>
    <w:rPr>
      <w:rFonts w:eastAsia="Times New Roman" w:cs="Times New Roman"/>
      <w:szCs w:val="20"/>
      <w:lang w:eastAsia="en-US"/>
    </w:rPr>
  </w:style>
  <w:style w:type="paragraph" w:customStyle="1" w:styleId="DZPNaglowek5">
    <w:name w:val="DZPNaglowek 5"/>
    <w:basedOn w:val="Normalny"/>
    <w:next w:val="Normalny"/>
    <w:autoRedefine/>
    <w:uiPriority w:val="99"/>
    <w:rsid w:val="007E59BD"/>
    <w:pPr>
      <w:tabs>
        <w:tab w:val="num" w:pos="2268"/>
      </w:tabs>
      <w:spacing w:before="40" w:after="80" w:line="288" w:lineRule="auto"/>
      <w:ind w:left="2268" w:hanging="850"/>
    </w:pPr>
    <w:rPr>
      <w:rFonts w:eastAsia="Times New Roman" w:cs="Times New Roman"/>
      <w:szCs w:val="20"/>
      <w:lang w:eastAsia="en-US"/>
    </w:rPr>
  </w:style>
  <w:style w:type="paragraph" w:customStyle="1" w:styleId="DZPNaglowek6">
    <w:name w:val="DZPNaglowek 6"/>
    <w:basedOn w:val="Normalny"/>
    <w:next w:val="Normalny"/>
    <w:autoRedefine/>
    <w:uiPriority w:val="99"/>
    <w:rsid w:val="007E59BD"/>
    <w:pPr>
      <w:tabs>
        <w:tab w:val="num" w:pos="2835"/>
      </w:tabs>
      <w:spacing w:before="40" w:after="80" w:line="288" w:lineRule="auto"/>
      <w:ind w:left="2835" w:hanging="567"/>
    </w:pPr>
    <w:rPr>
      <w:rFonts w:eastAsia="Times New Roman" w:cs="Times New Roman"/>
      <w:szCs w:val="20"/>
      <w:lang w:eastAsia="en-US"/>
    </w:rPr>
  </w:style>
  <w:style w:type="character" w:customStyle="1" w:styleId="articletitle">
    <w:name w:val="articletitle"/>
    <w:basedOn w:val="Domylnaczcionkaakapitu"/>
    <w:uiPriority w:val="99"/>
    <w:rsid w:val="007E59BD"/>
  </w:style>
  <w:style w:type="character" w:customStyle="1" w:styleId="st">
    <w:name w:val="st"/>
    <w:basedOn w:val="Domylnaczcionkaakapitu"/>
    <w:uiPriority w:val="99"/>
    <w:rsid w:val="007E59BD"/>
  </w:style>
  <w:style w:type="character" w:styleId="Uwydatnienie">
    <w:name w:val="Emphasis"/>
    <w:basedOn w:val="Domylnaczcionkaakapitu"/>
    <w:uiPriority w:val="99"/>
    <w:qFormat/>
    <w:rsid w:val="007E59BD"/>
    <w:rPr>
      <w:i/>
      <w:iCs/>
    </w:rPr>
  </w:style>
  <w:style w:type="paragraph" w:customStyle="1" w:styleId="Ustp">
    <w:name w:val="Ustęp"/>
    <w:basedOn w:val="Normalny"/>
    <w:uiPriority w:val="99"/>
    <w:rsid w:val="007E59BD"/>
    <w:pPr>
      <w:tabs>
        <w:tab w:val="num" w:pos="360"/>
      </w:tabs>
      <w:spacing w:before="120" w:after="120" w:line="240" w:lineRule="auto"/>
      <w:ind w:left="360" w:hanging="360"/>
    </w:pPr>
    <w:rPr>
      <w:rFonts w:ascii="Calibri" w:eastAsia="Times New Roman" w:hAnsi="Calibri" w:cs="Times New Roman"/>
      <w:szCs w:val="28"/>
    </w:rPr>
  </w:style>
  <w:style w:type="paragraph" w:customStyle="1" w:styleId="CalibriNormalny">
    <w:name w:val="Calibri Normalny"/>
    <w:basedOn w:val="Normalny"/>
    <w:link w:val="CalibriNormalnyZnak"/>
    <w:qFormat/>
    <w:rsid w:val="007E59BD"/>
    <w:pPr>
      <w:spacing w:line="240" w:lineRule="auto"/>
      <w:jc w:val="left"/>
    </w:pPr>
    <w:rPr>
      <w:rFonts w:ascii="Calibri" w:eastAsia="Times New Roman" w:hAnsi="Calibri" w:cs="Times New Roman"/>
      <w:sz w:val="24"/>
      <w:lang w:eastAsia="en-US"/>
    </w:rPr>
  </w:style>
  <w:style w:type="character" w:customStyle="1" w:styleId="CalibriNormalnyZnak">
    <w:name w:val="Calibri Normalny Znak"/>
    <w:basedOn w:val="Domylnaczcionkaakapitu"/>
    <w:link w:val="CalibriNormalny"/>
    <w:rsid w:val="007E59BD"/>
    <w:rPr>
      <w:rFonts w:ascii="Calibri" w:eastAsia="Times New Roman" w:hAnsi="Calibri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7E59B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E59BD"/>
    <w:rPr>
      <w:rFonts w:eastAsia="Times New Roman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E59BD"/>
    <w:pPr>
      <w:spacing w:line="276" w:lineRule="auto"/>
      <w:jc w:val="left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7E59BD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7E59BD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59BD"/>
    <w:rPr>
      <w:vertAlign w:val="superscript"/>
    </w:rPr>
  </w:style>
  <w:style w:type="paragraph" w:customStyle="1" w:styleId="Style5">
    <w:name w:val="Style5"/>
    <w:basedOn w:val="Normalny"/>
    <w:uiPriority w:val="99"/>
    <w:rsid w:val="007E59BD"/>
    <w:pPr>
      <w:widowControl w:val="0"/>
      <w:autoSpaceDE w:val="0"/>
      <w:autoSpaceDN w:val="0"/>
      <w:adjustRightInd w:val="0"/>
      <w:spacing w:line="293" w:lineRule="exact"/>
    </w:pPr>
    <w:rPr>
      <w:rFonts w:ascii="Calibri" w:eastAsiaTheme="minorEastAsia" w:hAnsi="Calibri" w:cstheme="minorBidi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7E59BD"/>
    <w:rPr>
      <w:rFonts w:ascii="Calibri" w:hAnsi="Calibri" w:cs="Calibri"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7E59BD"/>
    <w:rPr>
      <w:rFonts w:ascii="Calibri" w:hAnsi="Calibri" w:cs="Calibri"/>
      <w:i/>
      <w:iCs/>
      <w:sz w:val="20"/>
      <w:szCs w:val="20"/>
    </w:rPr>
  </w:style>
  <w:style w:type="paragraph" w:customStyle="1" w:styleId="Style4">
    <w:name w:val="Style4"/>
    <w:basedOn w:val="Normalny"/>
    <w:uiPriority w:val="99"/>
    <w:rsid w:val="007E59BD"/>
    <w:pPr>
      <w:widowControl w:val="0"/>
      <w:autoSpaceDE w:val="0"/>
      <w:autoSpaceDN w:val="0"/>
      <w:adjustRightInd w:val="0"/>
      <w:spacing w:line="293" w:lineRule="exact"/>
      <w:jc w:val="left"/>
    </w:pPr>
    <w:rPr>
      <w:rFonts w:ascii="Calibri" w:eastAsiaTheme="minorEastAsia" w:hAnsi="Calibri" w:cstheme="minorBidi"/>
      <w:sz w:val="24"/>
      <w:szCs w:val="24"/>
    </w:rPr>
  </w:style>
  <w:style w:type="paragraph" w:customStyle="1" w:styleId="Style2">
    <w:name w:val="Style2"/>
    <w:basedOn w:val="Normalny"/>
    <w:uiPriority w:val="99"/>
    <w:rsid w:val="007E59B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Theme="minorEastAsia" w:hAnsi="Calibri" w:cstheme="minorBidi"/>
      <w:sz w:val="24"/>
      <w:szCs w:val="24"/>
    </w:rPr>
  </w:style>
  <w:style w:type="character" w:customStyle="1" w:styleId="DeltaViewDeletion">
    <w:name w:val="DeltaView Deletion"/>
    <w:uiPriority w:val="99"/>
    <w:rsid w:val="007E59BD"/>
    <w:rPr>
      <w:strike/>
      <w:color w:val="FF0000"/>
    </w:rPr>
  </w:style>
  <w:style w:type="paragraph" w:customStyle="1" w:styleId="Standardowy1">
    <w:name w:val="Standardowy1"/>
    <w:link w:val="Standardowy1Char"/>
    <w:rsid w:val="00C55E41"/>
    <w:pPr>
      <w:widowControl w:val="0"/>
      <w:spacing w:before="200" w:line="312" w:lineRule="auto"/>
      <w:jc w:val="both"/>
    </w:pPr>
    <w:rPr>
      <w:rFonts w:ascii="Arial" w:eastAsia="Times New Roman" w:hAnsi="Arial"/>
      <w:sz w:val="22"/>
      <w:szCs w:val="22"/>
      <w:lang w:eastAsia="de-DE"/>
    </w:rPr>
  </w:style>
  <w:style w:type="character" w:customStyle="1" w:styleId="Standardowy1Char">
    <w:name w:val="Standardowy1 Char"/>
    <w:link w:val="Standardowy1"/>
    <w:locked/>
    <w:rsid w:val="00C55E41"/>
    <w:rPr>
      <w:rFonts w:ascii="Arial" w:eastAsia="Times New Roman" w:hAnsi="Arial"/>
      <w:sz w:val="22"/>
      <w:szCs w:val="22"/>
      <w:lang w:eastAsia="de-D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E789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E7894"/>
    <w:rPr>
      <w:rFonts w:ascii="Arial" w:hAnsi="Arial" w:cs="Arial"/>
      <w:sz w:val="22"/>
      <w:szCs w:val="22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649B"/>
    <w:rPr>
      <w:vertAlign w:val="superscript"/>
    </w:rPr>
  </w:style>
  <w:style w:type="character" w:customStyle="1" w:styleId="TekstkomentarzaZnak2">
    <w:name w:val="Tekst komentarza Znak2"/>
    <w:uiPriority w:val="99"/>
    <w:semiHidden/>
    <w:rsid w:val="00FE6E83"/>
    <w:rPr>
      <w:rFonts w:ascii="Calibri" w:hAnsi="Calibri"/>
      <w:lang w:eastAsia="zh-CN"/>
    </w:rPr>
  </w:style>
  <w:style w:type="character" w:customStyle="1" w:styleId="AkapitzlistZnak">
    <w:name w:val="Akapit z listą Znak"/>
    <w:aliases w:val="Lista punktowana1 Znak,Lista punktowana2 Znak,Lista punktowana3 Znak,List bullet Znak"/>
    <w:link w:val="Akapitzlist"/>
    <w:uiPriority w:val="34"/>
    <w:rsid w:val="0030779F"/>
    <w:rPr>
      <w:rFonts w:ascii="Calibri" w:hAnsi="Calibri"/>
      <w:sz w:val="22"/>
      <w:szCs w:val="22"/>
    </w:rPr>
  </w:style>
  <w:style w:type="paragraph" w:customStyle="1" w:styleId="CMSHeadL8">
    <w:name w:val="CMS Head L8"/>
    <w:basedOn w:val="Normalny"/>
    <w:rsid w:val="0030779F"/>
    <w:pPr>
      <w:tabs>
        <w:tab w:val="num" w:pos="1701"/>
        <w:tab w:val="num" w:pos="5649"/>
      </w:tabs>
      <w:spacing w:after="240" w:line="240" w:lineRule="auto"/>
      <w:ind w:left="1701" w:hanging="850"/>
      <w:outlineLvl w:val="7"/>
    </w:pPr>
    <w:rPr>
      <w:rFonts w:ascii="TiepoloItcTEEBoo" w:eastAsia="ArialNarrow" w:hAnsi="TiepoloItcTEEBoo" w:cs="TiepoloItcTEEBoo"/>
      <w:szCs w:val="24"/>
      <w:lang w:val="en-GB" w:eastAsia="en-US"/>
    </w:rPr>
  </w:style>
  <w:style w:type="paragraph" w:customStyle="1" w:styleId="CMSHeadL4">
    <w:name w:val="CMS Head L4"/>
    <w:basedOn w:val="Normalny"/>
    <w:rsid w:val="0030779F"/>
    <w:pPr>
      <w:tabs>
        <w:tab w:val="num" w:pos="2769"/>
      </w:tabs>
      <w:spacing w:after="240" w:line="240" w:lineRule="auto"/>
      <w:ind w:left="2769" w:hanging="360"/>
      <w:outlineLvl w:val="3"/>
    </w:pPr>
    <w:rPr>
      <w:rFonts w:ascii="TiepoloItcTEEBoo" w:eastAsia="ArialNarrow" w:hAnsi="TiepoloItcTEEBoo" w:cs="TiepoloItcTEEBoo"/>
      <w:szCs w:val="24"/>
      <w:lang w:val="en-GB" w:eastAsia="en-US"/>
    </w:rPr>
  </w:style>
  <w:style w:type="paragraph" w:customStyle="1" w:styleId="CMSHeadL3">
    <w:name w:val="CMS Head L3"/>
    <w:basedOn w:val="Normalny"/>
    <w:rsid w:val="0030779F"/>
    <w:pPr>
      <w:numPr>
        <w:ilvl w:val="2"/>
        <w:numId w:val="99"/>
      </w:numPr>
      <w:tabs>
        <w:tab w:val="num" w:pos="850"/>
      </w:tabs>
      <w:spacing w:after="240" w:line="240" w:lineRule="auto"/>
      <w:ind w:left="850" w:hanging="850"/>
      <w:outlineLvl w:val="2"/>
    </w:pPr>
    <w:rPr>
      <w:rFonts w:ascii="TiepoloItcTEEBoo" w:eastAsia="ArialNarrow" w:hAnsi="TiepoloItcTEEBoo" w:cs="TiepoloItcTEEBoo"/>
      <w:szCs w:val="24"/>
      <w:lang w:val="en-GB" w:eastAsia="en-US"/>
    </w:rPr>
  </w:style>
  <w:style w:type="paragraph" w:customStyle="1" w:styleId="CMSHeadL5">
    <w:name w:val="CMS Head L5"/>
    <w:basedOn w:val="Normalny"/>
    <w:rsid w:val="0030779F"/>
    <w:pPr>
      <w:numPr>
        <w:ilvl w:val="4"/>
        <w:numId w:val="99"/>
      </w:numPr>
      <w:spacing w:after="240" w:line="240" w:lineRule="auto"/>
      <w:outlineLvl w:val="4"/>
    </w:pPr>
    <w:rPr>
      <w:rFonts w:ascii="TiepoloItcTEEBoo" w:eastAsia="ArialNarrow" w:hAnsi="TiepoloItcTEEBoo" w:cs="TiepoloItcTEEBoo"/>
      <w:szCs w:val="24"/>
      <w:lang w:val="en-GB" w:eastAsia="en-US"/>
    </w:rPr>
  </w:style>
  <w:style w:type="paragraph" w:customStyle="1" w:styleId="CMSHeadL7">
    <w:name w:val="CMS Head L7"/>
    <w:basedOn w:val="Normalny"/>
    <w:rsid w:val="0030779F"/>
    <w:pPr>
      <w:numPr>
        <w:ilvl w:val="6"/>
        <w:numId w:val="99"/>
      </w:numPr>
      <w:spacing w:after="240" w:line="240" w:lineRule="auto"/>
      <w:ind w:left="851" w:firstLine="0"/>
      <w:outlineLvl w:val="6"/>
    </w:pPr>
    <w:rPr>
      <w:rFonts w:ascii="TiepoloItcTEEBoo" w:eastAsia="ArialNarrow" w:hAnsi="TiepoloItcTEEBoo" w:cs="TiepoloItcTEEBoo"/>
      <w:szCs w:val="24"/>
      <w:lang w:val="en-GB" w:eastAsia="en-US"/>
    </w:rPr>
  </w:style>
  <w:style w:type="paragraph" w:customStyle="1" w:styleId="StyleHeading1Kernat10pt">
    <w:name w:val="Style Heading 1 + Kern at 10 pt"/>
    <w:basedOn w:val="Nagwek1"/>
    <w:rsid w:val="0030779F"/>
    <w:pPr>
      <w:keepNext w:val="0"/>
      <w:tabs>
        <w:tab w:val="num" w:pos="360"/>
      </w:tabs>
      <w:suppressAutoHyphens/>
      <w:spacing w:before="0" w:line="288" w:lineRule="auto"/>
      <w:ind w:left="360" w:hanging="360"/>
    </w:pPr>
    <w:rPr>
      <w:rFonts w:ascii="MS Reference Sans Serif" w:eastAsia="TiepoloItcTEEBoo" w:hAnsi="MS Reference Sans Serif" w:cs="TiepoloItcTEEBoo"/>
      <w:b w:val="0"/>
      <w:color w:val="auto"/>
      <w:kern w:val="1"/>
      <w:sz w:val="23"/>
      <w:lang w:eastAsia="ar-SA"/>
    </w:rPr>
  </w:style>
  <w:style w:type="paragraph" w:styleId="Poprawka">
    <w:name w:val="Revision"/>
    <w:hidden/>
    <w:uiPriority w:val="99"/>
    <w:semiHidden/>
    <w:rsid w:val="003000A6"/>
    <w:pPr>
      <w:spacing w:after="0" w:line="240" w:lineRule="auto"/>
    </w:pPr>
    <w:rPr>
      <w:rFonts w:ascii="Arial" w:hAnsi="Arial" w:cs="Arial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TaxCatchAll xmlns="87037488-ec5d-4aba-84c2-9b1d22638e8e"/>
  </documentManagement>
</p:properties>
</file>

<file path=customXml/item2.xml><?xml version="1.0" encoding="utf-8"?>
<?mso-contentType ?>
<SharedContentType xmlns="Microsoft.SharePoint.Taxonomy.ContentTypeSync" SourceId="3bf472f7-a010-4b5a-bb99-a26ed4c99680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81C112A1F9BD4AA5847451619D2BBE" ma:contentTypeVersion="2" ma:contentTypeDescription="Create a new document." ma:contentTypeScope="" ma:versionID="b51127378a70acd81cf8b0fc7cbc1fea">
  <xsd:schema xmlns:xsd="http://www.w3.org/2001/XMLSchema" xmlns:xs="http://www.w3.org/2001/XMLSchema" xmlns:p="http://schemas.microsoft.com/office/2006/metadata/properties" xmlns:ns2="87037488-ec5d-4aba-84c2-9b1d22638e8e" xmlns:ns3="454beb2f-8d62-4baa-98bb-5d4a22065c7f" targetNamespace="http://schemas.microsoft.com/office/2006/metadata/properties" ma:root="true" ma:fieldsID="dd90019d040ac21f1f9eb00f49174e94" ns2:_="" ns3:_="">
    <xsd:import namespace="87037488-ec5d-4aba-84c2-9b1d22638e8e"/>
    <xsd:import namespace="454beb2f-8d62-4baa-98bb-5d4a22065c7f"/>
    <xsd:element name="properties">
      <xsd:complexType>
        <xsd:sequence>
          <xsd:element name="documentManagement">
            <xsd:complexType>
              <xsd:all>
                <xsd:element ref="ns2:b1b820adfd3e4a078472514c1a5cb5ff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cc36860-599d-41d8-b8b6-f868709a89df}" ma:internalName="TaxCatchAll" ma:showField="CatchAllData" ma:web="d689a54e-2b16-424d-92e6-f5a536aa4d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cc36860-599d-41d8-b8b6-f868709a89df}" ma:internalName="TaxCatchAllLabel" ma:readOnly="true" ma:showField="CatchAllDataLabel" ma:web="d689a54e-2b16-424d-92e6-f5a536aa4d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beb2f-8d62-4baa-98bb-5d4a22065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91DDC-1C99-4013-B238-ADABDF98C35C}">
  <ds:schemaRefs>
    <ds:schemaRef ds:uri="http://schemas.microsoft.com/office/2006/metadata/properties"/>
    <ds:schemaRef ds:uri="http://schemas.microsoft.com/office/infopath/2007/PartnerControls"/>
    <ds:schemaRef ds:uri="87037488-ec5d-4aba-84c2-9b1d22638e8e"/>
  </ds:schemaRefs>
</ds:datastoreItem>
</file>

<file path=customXml/itemProps2.xml><?xml version="1.0" encoding="utf-8"?>
<ds:datastoreItem xmlns:ds="http://schemas.openxmlformats.org/officeDocument/2006/customXml" ds:itemID="{154C4CE2-FD43-40E4-84C5-5D57BD0CB0F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7B8AD85-6865-48CA-A6B2-2A9A5D8A2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454beb2f-8d62-4baa-98bb-5d4a22065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5A6B60-9AB7-4665-8BAF-679A44E7DD1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C69D96C-2E61-47C7-AC37-0EB6DC47F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2798</Words>
  <Characters>16789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Jawor</dc:creator>
  <cp:lastModifiedBy>Alicja</cp:lastModifiedBy>
  <cp:revision>2</cp:revision>
  <cp:lastPrinted>2020-04-27T14:06:00Z</cp:lastPrinted>
  <dcterms:created xsi:type="dcterms:W3CDTF">2020-05-06T15:17:00Z</dcterms:created>
  <dcterms:modified xsi:type="dcterms:W3CDTF">2020-05-06T15:17:00Z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0x0101006081C112A1F9BD4AA5847451619D2BBE</vt:lpwstr>
  </property>
  <property fmtid="{D5CDD505-2E9C-101B-9397-08002B2CF9AE}" pid="3" name="Security Classification">
    <vt:lpwstr/>
  </property>
</Properties>
</file>