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DA77" w14:textId="77777777" w:rsidR="004F4EE7" w:rsidRPr="00D96F10" w:rsidRDefault="004F4EE7" w:rsidP="00F838A6">
      <w:pPr>
        <w:spacing w:line="276" w:lineRule="auto"/>
        <w:jc w:val="right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D96F10">
        <w:rPr>
          <w:rFonts w:asciiTheme="minorHAnsi" w:hAnsiTheme="minorHAnsi" w:cstheme="minorHAnsi"/>
          <w:b/>
          <w:bCs/>
          <w:iCs/>
        </w:rPr>
        <w:t>Załącznik nr 3 do Umowy</w:t>
      </w:r>
    </w:p>
    <w:p w14:paraId="0353BA8F" w14:textId="77777777" w:rsidR="007E59BD" w:rsidRPr="00D96F10" w:rsidRDefault="007E59BD" w:rsidP="00F838A6">
      <w:pPr>
        <w:spacing w:line="276" w:lineRule="auto"/>
        <w:rPr>
          <w:rFonts w:asciiTheme="minorHAnsi" w:hAnsiTheme="minorHAnsi" w:cstheme="minorHAnsi"/>
          <w:iCs/>
        </w:rPr>
      </w:pPr>
    </w:p>
    <w:p w14:paraId="3E28C3AF" w14:textId="476B586A" w:rsidR="004F4EE7" w:rsidRPr="00D96F10" w:rsidRDefault="004F4EE7" w:rsidP="00F838A6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D96F10">
        <w:rPr>
          <w:rFonts w:asciiTheme="minorHAnsi" w:hAnsiTheme="minorHAnsi" w:cstheme="minorHAnsi"/>
          <w:b/>
          <w:bCs/>
          <w:iCs/>
        </w:rPr>
        <w:t xml:space="preserve">Tabela podziału </w:t>
      </w:r>
      <w:proofErr w:type="spellStart"/>
      <w:r w:rsidRPr="00D96F10">
        <w:rPr>
          <w:rFonts w:asciiTheme="minorHAnsi" w:hAnsiTheme="minorHAnsi" w:cstheme="minorHAnsi"/>
          <w:b/>
          <w:bCs/>
          <w:iCs/>
        </w:rPr>
        <w:t>ryzyk</w:t>
      </w:r>
      <w:proofErr w:type="spellEnd"/>
    </w:p>
    <w:p w14:paraId="3CE7F235" w14:textId="77777777" w:rsidR="004F4EE7" w:rsidRPr="00D96F10" w:rsidRDefault="004F4EE7" w:rsidP="00F838A6">
      <w:pPr>
        <w:pStyle w:val="Akapitzlist"/>
        <w:ind w:left="360"/>
        <w:jc w:val="both"/>
        <w:rPr>
          <w:rFonts w:asciiTheme="minorHAnsi" w:hAnsiTheme="minorHAnsi" w:cstheme="minorHAnsi"/>
          <w:b/>
          <w:spacing w:val="4"/>
        </w:rPr>
      </w:pPr>
      <w:bookmarkStart w:id="1" w:name="_Ref519854682"/>
    </w:p>
    <w:bookmarkEnd w:id="1"/>
    <w:p w14:paraId="2943BFBC" w14:textId="77777777" w:rsidR="000744BE" w:rsidRPr="00D96F10" w:rsidRDefault="000744BE" w:rsidP="00F838A6">
      <w:pPr>
        <w:spacing w:line="276" w:lineRule="auto"/>
        <w:rPr>
          <w:rFonts w:asciiTheme="minorHAnsi" w:hAnsiTheme="minorHAnsi" w:cstheme="minorHAnsi"/>
          <w:spacing w:val="4"/>
        </w:rPr>
      </w:pPr>
      <w:r w:rsidRPr="00D96F10">
        <w:rPr>
          <w:rFonts w:asciiTheme="minorHAnsi" w:hAnsiTheme="minorHAnsi" w:cstheme="minorHAnsi"/>
          <w:spacing w:val="4"/>
        </w:rPr>
        <w:t xml:space="preserve">Strony zgodnie postanawiają, że realizacja Przedsięwzięcia oparta będzie na podziale </w:t>
      </w:r>
      <w:proofErr w:type="spellStart"/>
      <w:r w:rsidRPr="00D96F10">
        <w:rPr>
          <w:rFonts w:asciiTheme="minorHAnsi" w:hAnsiTheme="minorHAnsi" w:cstheme="minorHAnsi"/>
          <w:spacing w:val="4"/>
        </w:rPr>
        <w:t>ryzyk</w:t>
      </w:r>
      <w:proofErr w:type="spellEnd"/>
      <w:r w:rsidRPr="00D96F10">
        <w:rPr>
          <w:rFonts w:asciiTheme="minorHAnsi" w:hAnsiTheme="minorHAnsi" w:cstheme="minorHAnsi"/>
          <w:spacing w:val="4"/>
        </w:rPr>
        <w:t xml:space="preserve"> między Stronami. </w:t>
      </w:r>
    </w:p>
    <w:p w14:paraId="271F5907" w14:textId="1F39322D" w:rsidR="00B70BEC" w:rsidRPr="00D96F10" w:rsidRDefault="00B70BEC" w:rsidP="00F838A6">
      <w:pPr>
        <w:spacing w:line="276" w:lineRule="auto"/>
        <w:rPr>
          <w:rFonts w:asciiTheme="minorHAnsi" w:hAnsiTheme="minorHAnsi" w:cstheme="minorHAnsi"/>
          <w:b/>
          <w:bCs/>
          <w:spacing w:val="4"/>
        </w:rPr>
      </w:pPr>
      <w:r w:rsidRPr="00D96F10">
        <w:rPr>
          <w:rFonts w:asciiTheme="minorHAnsi" w:hAnsiTheme="minorHAnsi" w:cstheme="minorHAnsi"/>
          <w:b/>
          <w:bCs/>
          <w:spacing w:val="4"/>
        </w:rPr>
        <w:t xml:space="preserve">1.1. Ryzyka </w:t>
      </w:r>
      <w:r w:rsidR="001343D7" w:rsidRPr="00D96F10">
        <w:rPr>
          <w:rFonts w:asciiTheme="minorHAnsi" w:hAnsiTheme="minorHAnsi" w:cstheme="minorHAnsi"/>
          <w:b/>
          <w:bCs/>
          <w:spacing w:val="4"/>
        </w:rPr>
        <w:t xml:space="preserve">Projektowania i </w:t>
      </w:r>
      <w:r w:rsidRPr="00D96F10">
        <w:rPr>
          <w:rFonts w:asciiTheme="minorHAnsi" w:hAnsiTheme="minorHAnsi" w:cstheme="minorHAnsi"/>
          <w:b/>
          <w:bCs/>
          <w:spacing w:val="4"/>
        </w:rPr>
        <w:t>Budowy ponoszone przez Partnera Prywatnego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792"/>
        <w:gridCol w:w="6539"/>
      </w:tblGrid>
      <w:tr w:rsidR="00D96F10" w:rsidRPr="00D96F10" w14:paraId="411701DD" w14:textId="77777777" w:rsidTr="004F4EE7">
        <w:tc>
          <w:tcPr>
            <w:tcW w:w="10206" w:type="dxa"/>
            <w:gridSpan w:val="3"/>
          </w:tcPr>
          <w:p w14:paraId="78A73130" w14:textId="1077BA3D" w:rsidR="0030779F" w:rsidRPr="00D96F10" w:rsidRDefault="00AF6DF2" w:rsidP="00F838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 xml:space="preserve">Ryzyka </w:t>
            </w:r>
            <w:r w:rsidR="00D637F9" w:rsidRPr="00D96F10">
              <w:rPr>
                <w:rFonts w:asciiTheme="minorHAnsi" w:hAnsiTheme="minorHAnsi" w:cstheme="minorHAnsi"/>
                <w:b/>
              </w:rPr>
              <w:t xml:space="preserve">Projektowania i </w:t>
            </w:r>
            <w:r w:rsidR="00B70BEC" w:rsidRPr="00D96F10">
              <w:rPr>
                <w:rFonts w:asciiTheme="minorHAnsi" w:hAnsiTheme="minorHAnsi" w:cstheme="minorHAnsi"/>
                <w:b/>
              </w:rPr>
              <w:t>B</w:t>
            </w:r>
            <w:r w:rsidRPr="00D96F10">
              <w:rPr>
                <w:rFonts w:asciiTheme="minorHAnsi" w:hAnsiTheme="minorHAnsi" w:cstheme="minorHAnsi"/>
                <w:b/>
              </w:rPr>
              <w:t>udowy ponoszone przez Partnera Prywatnego</w:t>
            </w:r>
          </w:p>
        </w:tc>
      </w:tr>
      <w:tr w:rsidR="00D96F10" w:rsidRPr="00D96F10" w14:paraId="2EAAFBDD" w14:textId="77777777" w:rsidTr="004F4EE7">
        <w:tc>
          <w:tcPr>
            <w:tcW w:w="875" w:type="dxa"/>
            <w:vAlign w:val="center"/>
          </w:tcPr>
          <w:p w14:paraId="2AAF45D7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2792" w:type="dxa"/>
          </w:tcPr>
          <w:p w14:paraId="211718AE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Kategoria ryzyka</w:t>
            </w:r>
          </w:p>
        </w:tc>
        <w:tc>
          <w:tcPr>
            <w:tcW w:w="6539" w:type="dxa"/>
          </w:tcPr>
          <w:p w14:paraId="0E1AA14F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Opis ryzyka</w:t>
            </w:r>
          </w:p>
        </w:tc>
      </w:tr>
      <w:tr w:rsidR="00D96F10" w:rsidRPr="00D96F10" w14:paraId="5ABFE59E" w14:textId="77777777" w:rsidTr="004F4EE7">
        <w:tc>
          <w:tcPr>
            <w:tcW w:w="875" w:type="dxa"/>
            <w:vAlign w:val="center"/>
          </w:tcPr>
          <w:p w14:paraId="708D0E8C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6F10">
              <w:rPr>
                <w:rFonts w:asciiTheme="minorHAnsi" w:hAnsiTheme="minorHAnsi" w:cstheme="minorHAnsi"/>
                <w:lang w:eastAsia="en-US"/>
              </w:rPr>
              <w:t>1.1.1</w:t>
            </w:r>
          </w:p>
        </w:tc>
        <w:tc>
          <w:tcPr>
            <w:tcW w:w="2792" w:type="dxa"/>
            <w:vAlign w:val="center"/>
          </w:tcPr>
          <w:p w14:paraId="6E73F2B7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warunkami geologicznymi, geotechnicznymi i hydrologicznymi</w:t>
            </w:r>
          </w:p>
          <w:p w14:paraId="71333902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1EFC88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39" w:type="dxa"/>
          </w:tcPr>
          <w:p w14:paraId="20CAE285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gdy w trakcie realizacji Etapu Inwestycyjnego wystąpią niedające się przewidzieć w Dniu Zawarcia Umowy niekorzystne </w:t>
            </w:r>
            <w:r w:rsidRPr="00D96F10">
              <w:rPr>
                <w:rFonts w:asciiTheme="minorHAnsi" w:hAnsiTheme="minorHAnsi" w:cstheme="minorHAnsi"/>
              </w:rPr>
              <w:t xml:space="preserve">warunki geologiczne, geotechniczne lub hydrologiczne skutkujące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koniecznością wykonania dodatkowych pomiarów lub badań, wówczas Partner Prywatny wykona je na własny koszt i przedstawi ich wyniki Podmiotowi Publicznemu. </w:t>
            </w:r>
          </w:p>
          <w:p w14:paraId="2260DE7C" w14:textId="31F9019C" w:rsidR="004A3DEF" w:rsidRPr="00D96F10" w:rsidRDefault="004A3DEF" w:rsidP="00F838A6">
            <w:pPr>
              <w:spacing w:after="120" w:line="276" w:lineRule="auto"/>
              <w:ind w:left="33"/>
              <w:outlineLvl w:val="3"/>
              <w:rPr>
                <w:rFonts w:asciiTheme="minorHAnsi" w:eastAsia="MS Reference Sans Serif" w:hAnsiTheme="minorHAnsi" w:cstheme="minorHAnsi"/>
                <w:spacing w:val="4"/>
              </w:rPr>
            </w:pPr>
            <w:bookmarkStart w:id="2" w:name="_Ref318296584"/>
            <w:r w:rsidRPr="00D96F10">
              <w:rPr>
                <w:rFonts w:asciiTheme="minorHAnsi" w:eastAsia="MS Reference Sans Serif" w:hAnsiTheme="minorHAnsi" w:cstheme="minorHAnsi"/>
                <w:spacing w:val="4"/>
              </w:rPr>
              <w:t xml:space="preserve">W przypadku odkrycia w trakcie Etapu Inwestycyjnego zanieczyszczenia i skażenia gleby na Terenie Budowy powstałego przed dniem zawarcia Umowy </w:t>
            </w:r>
            <w:r w:rsidR="001343D7" w:rsidRPr="00D96F10">
              <w:rPr>
                <w:rFonts w:asciiTheme="minorHAnsi" w:eastAsia="MS Reference Sans Serif" w:hAnsiTheme="minorHAnsi" w:cstheme="minorHAnsi"/>
                <w:spacing w:val="4"/>
              </w:rPr>
              <w:t>U</w:t>
            </w:r>
            <w:r w:rsidR="004402E3" w:rsidRPr="00D96F10">
              <w:rPr>
                <w:rFonts w:asciiTheme="minorHAnsi" w:eastAsia="MS Reference Sans Serif" w:hAnsiTheme="minorHAnsi" w:cstheme="minorHAnsi"/>
                <w:spacing w:val="4"/>
              </w:rPr>
              <w:t>życzenia Partner</w:t>
            </w:r>
            <w:r w:rsidR="00AF6DF2" w:rsidRPr="00D96F10">
              <w:rPr>
                <w:rFonts w:asciiTheme="minorHAnsi" w:eastAsia="MS Reference Sans Serif" w:hAnsiTheme="minorHAnsi" w:cstheme="minorHAnsi"/>
                <w:spacing w:val="4"/>
              </w:rPr>
              <w:t xml:space="preserve"> Prywatny powiadomi niezwłocznie o tym fakcie Podmiot Publiczny i odpowiednie organy administracji</w:t>
            </w:r>
            <w:bookmarkEnd w:id="2"/>
            <w:r w:rsidR="00AF6DF2" w:rsidRPr="00D96F10">
              <w:rPr>
                <w:rFonts w:asciiTheme="minorHAnsi" w:eastAsia="MS Reference Sans Serif" w:hAnsiTheme="minorHAnsi" w:cstheme="minorHAnsi"/>
                <w:spacing w:val="4"/>
              </w:rPr>
              <w:t xml:space="preserve">. </w:t>
            </w:r>
          </w:p>
          <w:p w14:paraId="79441089" w14:textId="77777777" w:rsidR="004A3DEF" w:rsidRPr="00D96F10" w:rsidRDefault="00AF6DF2" w:rsidP="00F838A6">
            <w:pPr>
              <w:spacing w:line="276" w:lineRule="auto"/>
              <w:ind w:left="33"/>
              <w:outlineLvl w:val="3"/>
              <w:rPr>
                <w:rFonts w:asciiTheme="minorHAnsi" w:eastAsia="MS Reference Sans Serif" w:hAnsiTheme="minorHAnsi" w:cstheme="minorHAnsi"/>
                <w:spacing w:val="4"/>
              </w:rPr>
            </w:pPr>
            <w:r w:rsidRPr="00D96F10">
              <w:rPr>
                <w:rFonts w:asciiTheme="minorHAnsi" w:eastAsia="MS Reference Sans Serif" w:hAnsiTheme="minorHAnsi" w:cstheme="minorHAnsi"/>
                <w:spacing w:val="4"/>
              </w:rPr>
              <w:t>Jeżeli:</w:t>
            </w:r>
          </w:p>
          <w:p w14:paraId="433B61A3" w14:textId="77777777" w:rsidR="004A3DEF" w:rsidRPr="00D96F10" w:rsidRDefault="004A3DEF" w:rsidP="00F838A6">
            <w:pPr>
              <w:numPr>
                <w:ilvl w:val="4"/>
                <w:numId w:val="100"/>
              </w:numPr>
              <w:spacing w:after="200" w:line="276" w:lineRule="auto"/>
              <w:ind w:left="317" w:hanging="283"/>
              <w:outlineLvl w:val="4"/>
              <w:rPr>
                <w:rFonts w:asciiTheme="minorHAnsi" w:eastAsia="ArialNarrow" w:hAnsiTheme="minorHAnsi" w:cstheme="minorHAnsi"/>
                <w:lang w:eastAsia="en-US"/>
              </w:rPr>
            </w:pPr>
            <w:r w:rsidRPr="00D96F10">
              <w:rPr>
                <w:rFonts w:asciiTheme="minorHAnsi" w:eastAsia="ArialNarrow" w:hAnsiTheme="minorHAnsi" w:cstheme="minorHAnsi"/>
                <w:lang w:eastAsia="en-US"/>
              </w:rPr>
              <w:t>Partner Prywatny otrzyma takie instrukcje od odpowiednich organów administracji, wówczas umożliwi ich oczyszczenie, uzdatnienie lub w inny sposób zajęcie się zanieczyszczoną i skażoną glebą na Terenie Budowy</w:t>
            </w:r>
            <w:r w:rsidR="004F4EE7" w:rsidRPr="00D96F10">
              <w:rPr>
                <w:rFonts w:asciiTheme="minorHAnsi" w:eastAsia="ArialNarrow" w:hAnsiTheme="minorHAnsi" w:cstheme="minorHAnsi"/>
                <w:lang w:eastAsia="en-US"/>
              </w:rPr>
              <w:t xml:space="preserve"> </w:t>
            </w:r>
            <w:r w:rsidRPr="00D96F10">
              <w:rPr>
                <w:rFonts w:asciiTheme="minorHAnsi" w:eastAsia="ArialNarrow" w:hAnsiTheme="minorHAnsi" w:cstheme="minorHAnsi"/>
                <w:lang w:eastAsia="en-US"/>
              </w:rPr>
              <w:t>odpowiednio wykwalifikowanym wykonawcom zatrudnionym przez właściwe organy administracji;</w:t>
            </w:r>
          </w:p>
          <w:p w14:paraId="581D8C72" w14:textId="77777777" w:rsidR="004A3DEF" w:rsidRPr="00D96F10" w:rsidRDefault="004A3DEF" w:rsidP="00F838A6">
            <w:pPr>
              <w:numPr>
                <w:ilvl w:val="4"/>
                <w:numId w:val="100"/>
              </w:numPr>
              <w:spacing w:after="120" w:line="276" w:lineRule="auto"/>
              <w:ind w:left="317" w:hanging="283"/>
              <w:outlineLvl w:val="4"/>
              <w:rPr>
                <w:rFonts w:asciiTheme="minorHAnsi" w:eastAsia="ArialNarrow" w:hAnsiTheme="minorHAnsi" w:cstheme="minorHAnsi"/>
                <w:lang w:eastAsia="en-US"/>
              </w:rPr>
            </w:pPr>
            <w:r w:rsidRPr="00D96F10">
              <w:rPr>
                <w:rFonts w:asciiTheme="minorHAnsi" w:eastAsia="ArialNarrow" w:hAnsiTheme="minorHAnsi" w:cstheme="minorHAnsi"/>
                <w:lang w:eastAsia="en-US"/>
              </w:rPr>
              <w:t>tak zostanie uzgodnione na piśmie pomiędzy właściwym organem administracji, Podmiotem Publiczny i Partnerem Prywatnym przed podjęciem jakichkolwiek działań w odniesieniu do zanieczyszczonej i skażonej gleby na Terenie Budowy i pod warunkiem postępowania zgodnie z przepisami Prawa, wówczas tak szybko, jak to możliwe, Partner Prywatny rozpocznie oczyszczanie, uzdatnianie lub w inny sposób dozwolony przepisami Prawa zajmie się zanieczyszczoną i skażoną glebą na Terenie Budowy.</w:t>
            </w:r>
          </w:p>
          <w:p w14:paraId="00A1D047" w14:textId="77777777" w:rsidR="0030779F" w:rsidRPr="00D96F10" w:rsidRDefault="00AF6DF2" w:rsidP="00F838A6">
            <w:pPr>
              <w:pStyle w:val="CMSHeadL5"/>
              <w:numPr>
                <w:ilvl w:val="0"/>
                <w:numId w:val="0"/>
              </w:numPr>
              <w:spacing w:after="120" w:line="276" w:lineRule="auto"/>
              <w:ind w:left="34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96F10">
              <w:rPr>
                <w:rFonts w:asciiTheme="minorHAnsi" w:hAnsiTheme="minorHAnsi" w:cstheme="minorHAnsi"/>
                <w:szCs w:val="22"/>
                <w:lang w:val="pl-PL"/>
              </w:rPr>
              <w:t xml:space="preserve">Odkrycie w trakcie realizacji Umowy zanieczyszczonej i skażonej gleby na Terenie Budowy </w:t>
            </w:r>
            <w:r w:rsidRPr="00D96F10">
              <w:rPr>
                <w:rFonts w:asciiTheme="minorHAnsi" w:hAnsiTheme="minorHAnsi" w:cstheme="minorHAnsi"/>
                <w:spacing w:val="4"/>
                <w:szCs w:val="22"/>
                <w:lang w:val="pl-PL"/>
              </w:rPr>
              <w:t>lub wystąpienie warunków geologicznych istotnie odbiegających od warunków przedstawionych w opinii geotechnicznej</w:t>
            </w:r>
            <w:r w:rsidRPr="00D96F10">
              <w:rPr>
                <w:rFonts w:asciiTheme="minorHAnsi" w:hAnsiTheme="minorHAnsi" w:cstheme="minorHAnsi"/>
                <w:szCs w:val="22"/>
                <w:lang w:val="pl-PL"/>
              </w:rPr>
              <w:t xml:space="preserve"> stanową Zdarzenie Nieprzewidywalne</w:t>
            </w:r>
            <w:r w:rsidR="006105BD" w:rsidRPr="00D96F10">
              <w:rPr>
                <w:rFonts w:asciiTheme="minorHAnsi" w:hAnsiTheme="minorHAnsi" w:cstheme="minorHAnsi"/>
                <w:szCs w:val="22"/>
                <w:lang w:val="pl-PL"/>
              </w:rPr>
              <w:t xml:space="preserve"> w rozumieniu pkt 29.1. Umowy</w:t>
            </w:r>
            <w:r w:rsidRPr="00D96F10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</w:tc>
      </w:tr>
      <w:tr w:rsidR="00D96F10" w:rsidRPr="00D96F10" w14:paraId="4493EAF7" w14:textId="77777777" w:rsidTr="004F4EE7">
        <w:tc>
          <w:tcPr>
            <w:tcW w:w="875" w:type="dxa"/>
            <w:vAlign w:val="center"/>
          </w:tcPr>
          <w:p w14:paraId="0ED8D697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lastRenderedPageBreak/>
              <w:t>1.1.2</w:t>
            </w:r>
          </w:p>
        </w:tc>
        <w:tc>
          <w:tcPr>
            <w:tcW w:w="2792" w:type="dxa"/>
            <w:vAlign w:val="center"/>
          </w:tcPr>
          <w:p w14:paraId="2FAD04EC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warunkami meteorologicznymi</w:t>
            </w:r>
          </w:p>
        </w:tc>
        <w:tc>
          <w:tcPr>
            <w:tcW w:w="6539" w:type="dxa"/>
          </w:tcPr>
          <w:p w14:paraId="1BA28FB4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W przypadku gdy temperatury powietrza o godzinie siódmej rano (7:00) dla miejsca wykonywania Robót Budowlanych podanej przez Instytut Meteorologii nie spadną poniżej minus 10 stopni Celsjusza i nie będą utrzymywać się na tym poziomie przez okres następujących po sobie co najmniej 4 dni,</w:t>
            </w:r>
            <w:r w:rsidR="00486334" w:rsidRPr="00D96F1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96F10">
              <w:rPr>
                <w:rFonts w:asciiTheme="minorHAnsi" w:hAnsiTheme="minorHAnsi" w:cstheme="minorHAnsi"/>
                <w:spacing w:val="4"/>
              </w:rPr>
              <w:t>Partner Prywatny nie będzie uprawniony wstrzymać wykonywania Robót Budowlanych z powodu warunków meteorologicznych. Przekroczenie terminu zakończenia Etapu Inwestycyjnego z ww. przyczyn stanowić będzie podstawę do naliczenia Partnerowi Prywatnemu kary umownej z tego tytułu zgodnie z pkt 3</w:t>
            </w:r>
            <w:r w:rsidR="009106F3" w:rsidRPr="00D96F10">
              <w:rPr>
                <w:rFonts w:asciiTheme="minorHAnsi" w:hAnsiTheme="minorHAnsi" w:cstheme="minorHAnsi"/>
                <w:spacing w:val="4"/>
              </w:rPr>
              <w:t>4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Umowy.</w:t>
            </w:r>
          </w:p>
          <w:p w14:paraId="466FA82F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gdy temperatury powietrza o godzinie siódmej rano (7:00) dla miejsca wykonywania Robót Budowlanych podanej przez Instytut Meteorologii spadną poniżej minus 10 stopni Celsjusza i będą utrzymywać się na tym poziomie przez okres następujących po sobie co najmniej 4 dni, stanowić to będzie Zdarzenie </w:t>
            </w:r>
            <w:r w:rsidR="00AF6DF2" w:rsidRPr="00D96F10">
              <w:rPr>
                <w:rFonts w:asciiTheme="minorHAnsi" w:hAnsiTheme="minorHAnsi" w:cstheme="minorHAnsi"/>
                <w:spacing w:val="4"/>
              </w:rPr>
              <w:t>Nieprzewidywalne</w:t>
            </w:r>
            <w:r w:rsidR="009106F3" w:rsidRPr="00D96F10">
              <w:rPr>
                <w:rFonts w:asciiTheme="minorHAnsi" w:hAnsiTheme="minorHAnsi" w:cstheme="minorHAnsi"/>
                <w:spacing w:val="4"/>
              </w:rPr>
              <w:t>, w rozumieniu pkt 29.1. Umowy</w:t>
            </w:r>
            <w:r w:rsidR="00AF6DF2" w:rsidRPr="00D96F10">
              <w:rPr>
                <w:rFonts w:asciiTheme="minorHAnsi" w:hAnsiTheme="minorHAnsi" w:cstheme="minorHAnsi"/>
                <w:spacing w:val="4"/>
              </w:rPr>
              <w:t xml:space="preserve"> wyłącznie jeżeli z tej przyczyny zakończenie Etapu Inwestycyjnego się opóźni i spowoduje to powstanie uzasadnionych</w:t>
            </w:r>
            <w:r w:rsidR="00123DE7" w:rsidRPr="00D96F1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AF6DF2" w:rsidRPr="00D96F10">
              <w:rPr>
                <w:rFonts w:asciiTheme="minorHAnsi" w:hAnsiTheme="minorHAnsi" w:cstheme="minorHAnsi"/>
                <w:spacing w:val="4"/>
              </w:rPr>
              <w:t>Dodatkowych Kosztów i Wydatków po stronie Partnera Prywatnego.</w:t>
            </w:r>
          </w:p>
        </w:tc>
      </w:tr>
      <w:tr w:rsidR="00D96F10" w:rsidRPr="00D96F10" w14:paraId="1F86175C" w14:textId="77777777" w:rsidTr="004F4EE7">
        <w:tc>
          <w:tcPr>
            <w:tcW w:w="875" w:type="dxa"/>
            <w:vAlign w:val="center"/>
          </w:tcPr>
          <w:p w14:paraId="79A9E20A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bookmarkStart w:id="3" w:name="mip30431934"/>
            <w:bookmarkEnd w:id="3"/>
            <w:r w:rsidRPr="00D96F10">
              <w:rPr>
                <w:rFonts w:asciiTheme="minorHAnsi" w:hAnsiTheme="minorHAnsi" w:cstheme="minorHAnsi"/>
              </w:rPr>
              <w:t>1.1.3</w:t>
            </w:r>
          </w:p>
        </w:tc>
        <w:tc>
          <w:tcPr>
            <w:tcW w:w="2792" w:type="dxa"/>
            <w:vAlign w:val="center"/>
          </w:tcPr>
          <w:p w14:paraId="05519172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</w:t>
            </w:r>
          </w:p>
          <w:p w14:paraId="254586FA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wystąpieniem niezgodności z warunkami dotyczącymi standardów wykonania Robót Budowlanych</w:t>
            </w:r>
            <w:bookmarkStart w:id="4" w:name="mip30431935"/>
            <w:bookmarkEnd w:id="4"/>
          </w:p>
        </w:tc>
        <w:tc>
          <w:tcPr>
            <w:tcW w:w="6539" w:type="dxa"/>
            <w:vAlign w:val="center"/>
          </w:tcPr>
          <w:p w14:paraId="7757E003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wystąpienia niezgodności Robót Budowlanych z warunkami dotyczącymi standardów wykonania Robót Budowlanych określonymi w Dokumentacji Projektowej, Podmiot Publiczny ma prawo żądania usunięcia niezgodności na koszt Partnera Prywatnego w terminie określonym przez Podmiot Publiczny z uwzględnieniem warunków technicznych usunięcia stanu niezgodności. </w:t>
            </w:r>
          </w:p>
          <w:p w14:paraId="0139BFF7" w14:textId="77777777" w:rsidR="0030779F" w:rsidRPr="00D96F10" w:rsidRDefault="006743B9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Zwłoka </w:t>
            </w:r>
            <w:r w:rsidR="004A3DEF" w:rsidRPr="00D96F10">
              <w:rPr>
                <w:rFonts w:asciiTheme="minorHAnsi" w:hAnsiTheme="minorHAnsi" w:cstheme="minorHAnsi"/>
                <w:spacing w:val="4"/>
              </w:rPr>
              <w:t xml:space="preserve">w usunięciu zgłoszonych w trakcie odbiorów wad, w stosunku do terminów na ich usunięcie wskazanych w </w:t>
            </w:r>
            <w:r w:rsidR="00BD5B29" w:rsidRPr="00D96F10">
              <w:rPr>
                <w:rFonts w:asciiTheme="minorHAnsi" w:hAnsiTheme="minorHAnsi" w:cstheme="minorHAnsi"/>
                <w:spacing w:val="4"/>
              </w:rPr>
              <w:t>protokołach odbiorów częściowych</w:t>
            </w:r>
            <w:r w:rsidR="004C4E95" w:rsidRPr="00D96F10">
              <w:rPr>
                <w:rFonts w:asciiTheme="minorHAnsi" w:hAnsiTheme="minorHAnsi" w:cstheme="minorHAnsi"/>
                <w:spacing w:val="4"/>
              </w:rPr>
              <w:t xml:space="preserve"> lub protokole odbioru końcowego</w:t>
            </w:r>
            <w:r w:rsidR="004A3DEF" w:rsidRPr="00D96F10">
              <w:rPr>
                <w:rFonts w:asciiTheme="minorHAnsi" w:hAnsiTheme="minorHAnsi" w:cstheme="minorHAnsi"/>
                <w:spacing w:val="4"/>
              </w:rPr>
              <w:t>, umożliwią Podmiotowi Publicznemu naliczenie Partnerowi Prywatnemu kary umownej z tego tytułu na zasadach określonych w Umowie.</w:t>
            </w:r>
          </w:p>
        </w:tc>
      </w:tr>
      <w:tr w:rsidR="00D96F10" w:rsidRPr="00D96F10" w14:paraId="4DD7DCF8" w14:textId="77777777" w:rsidTr="004F4EE7">
        <w:tc>
          <w:tcPr>
            <w:tcW w:w="875" w:type="dxa"/>
            <w:vAlign w:val="center"/>
          </w:tcPr>
          <w:p w14:paraId="763AF9D7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1.1.4</w:t>
            </w:r>
          </w:p>
        </w:tc>
        <w:tc>
          <w:tcPr>
            <w:tcW w:w="2792" w:type="dxa"/>
            <w:vAlign w:val="center"/>
          </w:tcPr>
          <w:p w14:paraId="4F8F9525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prowadzeniem sporów z podmiotami trzecimi spowodowanymi własnymi zaniedbaniami lub deliktami</w:t>
            </w:r>
            <w:bookmarkStart w:id="5" w:name="mip30431940"/>
            <w:bookmarkEnd w:id="5"/>
          </w:p>
        </w:tc>
        <w:tc>
          <w:tcPr>
            <w:tcW w:w="6539" w:type="dxa"/>
            <w:vAlign w:val="center"/>
          </w:tcPr>
          <w:p w14:paraId="52597B31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Partner Prywatny ponosi wszelkie koszty sporów sądowych/arbitrażowych z podmiotami trzecimi/Podwykonawcami/konsorcjantami spowodowanymi własnymi zaniedbaniami lub deliktami bez prawa regresu względem Podmiotu Publicznego.</w:t>
            </w:r>
          </w:p>
        </w:tc>
      </w:tr>
      <w:tr w:rsidR="00D96F10" w:rsidRPr="00D96F10" w14:paraId="0AAB7783" w14:textId="77777777" w:rsidTr="004F4EE7">
        <w:trPr>
          <w:trHeight w:val="1587"/>
        </w:trPr>
        <w:tc>
          <w:tcPr>
            <w:tcW w:w="875" w:type="dxa"/>
            <w:vAlign w:val="center"/>
          </w:tcPr>
          <w:p w14:paraId="6D44EB96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1.1.5</w:t>
            </w:r>
          </w:p>
        </w:tc>
        <w:tc>
          <w:tcPr>
            <w:tcW w:w="2792" w:type="dxa"/>
            <w:vAlign w:val="center"/>
          </w:tcPr>
          <w:p w14:paraId="080EBD00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 wypadkami</w:t>
            </w:r>
            <w:bookmarkStart w:id="6" w:name="mip30431941"/>
            <w:bookmarkStart w:id="7" w:name="mip30431942"/>
            <w:bookmarkEnd w:id="6"/>
            <w:bookmarkEnd w:id="7"/>
          </w:p>
        </w:tc>
        <w:tc>
          <w:tcPr>
            <w:tcW w:w="6539" w:type="dxa"/>
          </w:tcPr>
          <w:p w14:paraId="387564DE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Partner Prywatny jest odpowiedzialny za szkody na osobie lub mieniu poniesione przez osoby trzecie w związku z wykonywaniem przez niego obowiązków na Etapie Inwestycyjnym, w szczególności powstałe na skutek wypadków na Terenie Budowy na zasadach ogólnych obowiązującego Prawa, chyba że szkody te spowodowane były działaniem lub zaniedbaniami Podmiotu Publicznego.</w:t>
            </w:r>
          </w:p>
        </w:tc>
      </w:tr>
      <w:tr w:rsidR="00D96F10" w:rsidRPr="00D96F10" w14:paraId="53956F79" w14:textId="77777777" w:rsidTr="004F4EE7">
        <w:tc>
          <w:tcPr>
            <w:tcW w:w="875" w:type="dxa"/>
            <w:vAlign w:val="center"/>
          </w:tcPr>
          <w:p w14:paraId="6F148E6A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lastRenderedPageBreak/>
              <w:t>1.1.6</w:t>
            </w:r>
          </w:p>
        </w:tc>
        <w:tc>
          <w:tcPr>
            <w:tcW w:w="2792" w:type="dxa"/>
            <w:vAlign w:val="center"/>
          </w:tcPr>
          <w:p w14:paraId="02A870B2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 brakiem zasobów ludzkich i materialnych</w:t>
            </w:r>
            <w:bookmarkStart w:id="8" w:name="mip30431943"/>
            <w:bookmarkStart w:id="9" w:name="mip30431944"/>
            <w:bookmarkEnd w:id="8"/>
            <w:bookmarkEnd w:id="9"/>
          </w:p>
        </w:tc>
        <w:tc>
          <w:tcPr>
            <w:tcW w:w="6539" w:type="dxa"/>
          </w:tcPr>
          <w:p w14:paraId="12F81DA1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W przypadku niezapewnienia przez Partnera Prywatnego, z przyczyn leżących po jego stronie, zasobów ludzkich lub materialnych, powodujących nierozpoczęcie lub zaprzestanie realizacji obowiązków określonych w Umowie na Etapie Inwestycyjnym, Partnerowi Prywatnemu nie przysługuje prawo żądania wydłużenia terminów realizacji poszczególnych Części Etapu Inwestycyjnego, ani wzrostu Wynagrodzenia za Etap Inwestycyjny.</w:t>
            </w:r>
          </w:p>
        </w:tc>
      </w:tr>
      <w:tr w:rsidR="00D96F10" w:rsidRPr="00D96F10" w14:paraId="11C08FBF" w14:textId="77777777" w:rsidTr="004F4EE7">
        <w:tc>
          <w:tcPr>
            <w:tcW w:w="875" w:type="dxa"/>
            <w:vAlign w:val="center"/>
          </w:tcPr>
          <w:p w14:paraId="26E25877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1.1.7</w:t>
            </w:r>
          </w:p>
        </w:tc>
        <w:tc>
          <w:tcPr>
            <w:tcW w:w="2792" w:type="dxa"/>
            <w:vAlign w:val="center"/>
          </w:tcPr>
          <w:p w14:paraId="54688919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wystąpieniem wad fizycznych lub prawnych, zmniejszających wartość lub użyteczność urządzeń i instalacji zamontowanych w Obiektach przez Partnera Prywatnego w związku z realizacją Robót Budowlanych</w:t>
            </w:r>
            <w:bookmarkStart w:id="10" w:name="mip30431945"/>
            <w:bookmarkStart w:id="11" w:name="mip30431946"/>
            <w:bookmarkStart w:id="12" w:name="mip30431947"/>
            <w:bookmarkEnd w:id="10"/>
            <w:bookmarkEnd w:id="11"/>
            <w:bookmarkEnd w:id="12"/>
          </w:p>
        </w:tc>
        <w:tc>
          <w:tcPr>
            <w:tcW w:w="6539" w:type="dxa"/>
            <w:vAlign w:val="center"/>
          </w:tcPr>
          <w:p w14:paraId="496062F1" w14:textId="770FED81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W przypadku wystąpienia nieusuwalnych wad fizycznych lub prawnych zmniejszających wartość lub użyteczność materiałów/systemów/urządzeń/instalacji zamontowanych w Obiektach przez Partnera Prywatnego w związku z realizacją Etapu Inwestycyjnego z przyczyn leżących po stronie Partnera Prywatnego</w:t>
            </w:r>
            <w:r w:rsidR="00887B68" w:rsidRPr="00D96F10">
              <w:rPr>
                <w:rFonts w:asciiTheme="minorHAnsi" w:hAnsiTheme="minorHAnsi" w:cstheme="minorHAnsi"/>
                <w:spacing w:val="4"/>
              </w:rPr>
              <w:t>,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Partner Prywatny </w:t>
            </w:r>
            <w:r w:rsidR="00887B68" w:rsidRPr="00D96F10">
              <w:rPr>
                <w:rFonts w:asciiTheme="minorHAnsi" w:hAnsiTheme="minorHAnsi" w:cstheme="minorHAnsi"/>
                <w:bCs/>
                <w:spacing w:val="4"/>
              </w:rPr>
              <w:t>wymieni na nowy</w:t>
            </w:r>
            <w:r w:rsidR="001A4F23" w:rsidRPr="00D96F10">
              <w:rPr>
                <w:rFonts w:asciiTheme="minorHAnsi" w:hAnsiTheme="minorHAnsi" w:cstheme="minorHAnsi"/>
                <w:bCs/>
                <w:spacing w:val="4"/>
              </w:rPr>
              <w:t>,</w:t>
            </w:r>
            <w:r w:rsidR="00887B68" w:rsidRPr="00D96F10">
              <w:rPr>
                <w:rFonts w:asciiTheme="minorHAnsi" w:hAnsiTheme="minorHAnsi" w:cstheme="minorHAnsi"/>
                <w:bCs/>
                <w:spacing w:val="4"/>
              </w:rPr>
              <w:t xml:space="preserve"> wolny od wad</w:t>
            </w:r>
            <w:r w:rsidR="00887B68" w:rsidRPr="00D96F10">
              <w:rPr>
                <w:rFonts w:asciiTheme="minorHAnsi" w:hAnsiTheme="minorHAnsi" w:cstheme="minorHAnsi"/>
                <w:spacing w:val="4"/>
              </w:rPr>
              <w:t xml:space="preserve">. </w:t>
            </w:r>
          </w:p>
        </w:tc>
      </w:tr>
      <w:tr w:rsidR="00D96F10" w:rsidRPr="00D96F10" w14:paraId="34963EA4" w14:textId="77777777" w:rsidTr="004F4EE7">
        <w:tc>
          <w:tcPr>
            <w:tcW w:w="875" w:type="dxa"/>
            <w:vAlign w:val="center"/>
          </w:tcPr>
          <w:p w14:paraId="23573DD9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1.1.8</w:t>
            </w:r>
          </w:p>
        </w:tc>
        <w:tc>
          <w:tcPr>
            <w:tcW w:w="2792" w:type="dxa"/>
            <w:vAlign w:val="center"/>
          </w:tcPr>
          <w:p w14:paraId="64EC6ECB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naruszeniem dóbr osobistych lub praw autorskich i pokrewnych osób trzecich w trakcie lub w wyniku realizacji Umowy</w:t>
            </w:r>
            <w:bookmarkStart w:id="13" w:name="mip30431948"/>
            <w:bookmarkEnd w:id="13"/>
          </w:p>
        </w:tc>
        <w:tc>
          <w:tcPr>
            <w:tcW w:w="6539" w:type="dxa"/>
          </w:tcPr>
          <w:p w14:paraId="45B7BB38" w14:textId="600E1A9B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roszczeń podmiotów trzecich względem Partnera Prywatnego w związku ze stwierdzonym przez niego naruszeniem dóbr osobistych lub praw autorskich i pokrewnych osób trzecich w zakresie wykonywanych przez niego obowiązków wynikających z </w:t>
            </w:r>
            <w:r w:rsidR="004402E3" w:rsidRPr="00D96F10">
              <w:rPr>
                <w:rFonts w:asciiTheme="minorHAnsi" w:hAnsiTheme="minorHAnsi" w:cstheme="minorHAnsi"/>
                <w:spacing w:val="4"/>
              </w:rPr>
              <w:t>Umowy (</w:t>
            </w:r>
            <w:r w:rsidRPr="00D96F10">
              <w:rPr>
                <w:rFonts w:asciiTheme="minorHAnsi" w:hAnsiTheme="minorHAnsi" w:cstheme="minorHAnsi"/>
                <w:spacing w:val="4"/>
              </w:rPr>
              <w:t>sporządzenia Dokumentacji Projektowej), Partner Prywatny zobowiązany będzie na własny koszt i ryzyko prowadzić spory w tym zakresie, bez prawa regresu względem Podmiotu Publicznego. Ponadto, Partner Prywatny zobowiąże się na swój koszt i ryzyko do zmodyfikowania Dokumentacji Projektowej, albo wymienienia jej na nową w taki sposób, aby nie naruszał praw osób trzecich</w:t>
            </w:r>
          </w:p>
        </w:tc>
      </w:tr>
      <w:tr w:rsidR="00D96F10" w:rsidRPr="00D96F10" w14:paraId="28E1370D" w14:textId="77777777" w:rsidTr="004F4EE7">
        <w:tc>
          <w:tcPr>
            <w:tcW w:w="875" w:type="dxa"/>
            <w:vAlign w:val="center"/>
          </w:tcPr>
          <w:p w14:paraId="02EDF79E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bookmarkStart w:id="14" w:name="mip30431949"/>
            <w:bookmarkEnd w:id="14"/>
            <w:r w:rsidRPr="00D96F10">
              <w:rPr>
                <w:rFonts w:asciiTheme="minorHAnsi" w:hAnsiTheme="minorHAnsi" w:cstheme="minorHAnsi"/>
              </w:rPr>
              <w:t>1.1.9</w:t>
            </w:r>
          </w:p>
        </w:tc>
        <w:tc>
          <w:tcPr>
            <w:tcW w:w="2792" w:type="dxa"/>
            <w:vAlign w:val="center"/>
          </w:tcPr>
          <w:p w14:paraId="7E411A4C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niemożliwością uzyskania lub przedłużania lub opóźnieniami w wydawaniu pozwoleń, zezwoleń, decyzji, koncesji, licencji </w:t>
            </w:r>
            <w:r w:rsidR="00882101" w:rsidRPr="00D96F10">
              <w:rPr>
                <w:rFonts w:asciiTheme="minorHAnsi" w:hAnsiTheme="minorHAnsi" w:cstheme="minorHAnsi"/>
              </w:rPr>
              <w:t>lub certyfikatów (decyzji a</w:t>
            </w:r>
            <w:r w:rsidRPr="00D96F10">
              <w:rPr>
                <w:rFonts w:asciiTheme="minorHAnsi" w:hAnsiTheme="minorHAnsi" w:cstheme="minorHAnsi"/>
              </w:rPr>
              <w:t>dministracyjnych) z przyczyn zawinionych jedynie przez Partnera Prywatnego</w:t>
            </w:r>
            <w:bookmarkStart w:id="15" w:name="mip30431950"/>
            <w:bookmarkStart w:id="16" w:name="mip30431951"/>
            <w:bookmarkStart w:id="17" w:name="mip30431952"/>
            <w:bookmarkEnd w:id="15"/>
            <w:bookmarkEnd w:id="16"/>
            <w:bookmarkEnd w:id="17"/>
          </w:p>
        </w:tc>
        <w:tc>
          <w:tcPr>
            <w:tcW w:w="6539" w:type="dxa"/>
          </w:tcPr>
          <w:p w14:paraId="229AD4C4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niemożliwości uzyskania, przedłużania lub opóźnień w wydawaniu </w:t>
            </w:r>
            <w:r w:rsidR="00882101" w:rsidRPr="00D96F10">
              <w:rPr>
                <w:rFonts w:asciiTheme="minorHAnsi" w:hAnsiTheme="minorHAnsi" w:cstheme="minorHAnsi"/>
                <w:spacing w:val="4"/>
              </w:rPr>
              <w:t>decyzji a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dministracyjnych z przyczyn leżących po stronie Partnera Prywatnego, Partnerowi Prywatnemu nie przysługuje prawo żądania wydłużenia terminów umownych, i nie wyłącza to prawa naliczania kar umownych za naruszenie terminów zakończenia Robót Budowlanych. Za przyczyny leżące po stronie Partnera Prywatnego w szczególności rozumie się złożenie niekompletnych, błędnych wniosków/dokumentów niezbędnych do wydania określonej </w:t>
            </w:r>
            <w:r w:rsidR="00882101" w:rsidRPr="00D96F10">
              <w:rPr>
                <w:rFonts w:asciiTheme="minorHAnsi" w:hAnsiTheme="minorHAnsi" w:cstheme="minorHAnsi"/>
                <w:spacing w:val="4"/>
              </w:rPr>
              <w:t>decyzji a</w:t>
            </w:r>
            <w:r w:rsidRPr="00D96F10">
              <w:rPr>
                <w:rFonts w:asciiTheme="minorHAnsi" w:hAnsiTheme="minorHAnsi" w:cstheme="minorHAnsi"/>
                <w:spacing w:val="4"/>
              </w:rPr>
              <w:t>dministracyjnej, jak również uchybienie terminom administracyjnym.</w:t>
            </w:r>
          </w:p>
        </w:tc>
      </w:tr>
      <w:tr w:rsidR="00D96F10" w:rsidRPr="00D96F10" w14:paraId="473AA3AC" w14:textId="77777777" w:rsidTr="004F4EE7">
        <w:tc>
          <w:tcPr>
            <w:tcW w:w="875" w:type="dxa"/>
            <w:vAlign w:val="center"/>
          </w:tcPr>
          <w:p w14:paraId="6309AB03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1.1.10</w:t>
            </w:r>
          </w:p>
        </w:tc>
        <w:tc>
          <w:tcPr>
            <w:tcW w:w="2792" w:type="dxa"/>
            <w:vAlign w:val="center"/>
          </w:tcPr>
          <w:p w14:paraId="04F28243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odkryciami archeologicznymi</w:t>
            </w:r>
          </w:p>
        </w:tc>
        <w:tc>
          <w:tcPr>
            <w:tcW w:w="6539" w:type="dxa"/>
          </w:tcPr>
          <w:p w14:paraId="667BF497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odkrycia archeologicznego powodującego konieczność wstrzymania Robót Budowlanych celem przebadania i zabezpieczenia odkrycia na Terenie Budowy Partner Prywatny powiadomi niezwłocznie o tym fakcie Podmiot Publiczny oraz zabezpieczy znalezisko archeologiczne w sposób zgodny </w:t>
            </w:r>
            <w:r w:rsidRPr="00D96F10">
              <w:rPr>
                <w:rFonts w:asciiTheme="minorHAnsi" w:hAnsiTheme="minorHAnsi" w:cstheme="minorHAnsi"/>
                <w:spacing w:val="4"/>
              </w:rPr>
              <w:lastRenderedPageBreak/>
              <w:t>z przepisami Prawa. Powyższa okoliczność stanowi Zdarzenie Nieprzewidywalne</w:t>
            </w:r>
            <w:r w:rsidR="003A0D9E" w:rsidRPr="00D96F10">
              <w:rPr>
                <w:rFonts w:asciiTheme="minorHAnsi" w:hAnsiTheme="minorHAnsi" w:cstheme="minorHAnsi"/>
                <w:spacing w:val="4"/>
              </w:rPr>
              <w:t xml:space="preserve"> w rozumieniu pkt 29.1. Umowy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. </w:t>
            </w:r>
          </w:p>
          <w:p w14:paraId="3C634429" w14:textId="77777777" w:rsidR="0030779F" w:rsidRPr="00D96F10" w:rsidRDefault="0030779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96F10" w:rsidRPr="00D96F10" w14:paraId="0660C505" w14:textId="77777777" w:rsidTr="004F4EE7">
        <w:tc>
          <w:tcPr>
            <w:tcW w:w="875" w:type="dxa"/>
            <w:vAlign w:val="center"/>
          </w:tcPr>
          <w:p w14:paraId="2FA5E1F7" w14:textId="77777777" w:rsidR="004D7D67" w:rsidRPr="00D96F10" w:rsidRDefault="004D7D67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lastRenderedPageBreak/>
              <w:t>1.1.11.</w:t>
            </w:r>
          </w:p>
        </w:tc>
        <w:tc>
          <w:tcPr>
            <w:tcW w:w="2792" w:type="dxa"/>
            <w:vAlign w:val="center"/>
          </w:tcPr>
          <w:p w14:paraId="09DA8A77" w14:textId="77777777" w:rsidR="004D7D67" w:rsidRPr="00D96F10" w:rsidRDefault="004D7D67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 prowadzeniem uzgodnień z gestorami sieci</w:t>
            </w:r>
          </w:p>
        </w:tc>
        <w:tc>
          <w:tcPr>
            <w:tcW w:w="6539" w:type="dxa"/>
          </w:tcPr>
          <w:p w14:paraId="1FFEA085" w14:textId="6F2B6D82" w:rsidR="004D7D67" w:rsidRPr="00D96F10" w:rsidRDefault="004D7D67" w:rsidP="005539FE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Partner Prywatny będzie prowadził na własny koszt uzgodnienia z gestorami sieci na Etapie </w:t>
            </w:r>
            <w:r w:rsidR="00887B68" w:rsidRPr="00D96F10">
              <w:rPr>
                <w:rFonts w:asciiTheme="minorHAnsi" w:hAnsiTheme="minorHAnsi" w:cstheme="minorHAnsi"/>
                <w:spacing w:val="4"/>
              </w:rPr>
              <w:t xml:space="preserve">Projektowania i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Robót w niezbędnym zakresie. Podmiot Publiczny zobowiązany jest do ścisłej współpracy z Partnerem Prywatnym w zakresie prowadzonych uzgodnień. Opóźnienia w zakończeniu Robót Budowlanych spowodowane bezpośrednio wydłużeniem procedur uzgodnień z przyczyn leżących po stronie gestorów sieci, </w:t>
            </w:r>
            <w:r w:rsidR="00887B68" w:rsidRPr="00D96F10">
              <w:rPr>
                <w:rFonts w:asciiTheme="minorHAnsi" w:hAnsiTheme="minorHAnsi" w:cstheme="minorHAnsi"/>
                <w:spacing w:val="4"/>
              </w:rPr>
              <w:t xml:space="preserve">mogą stanowić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podstawę do wydłużenia terminów zakończenia poszczególnych Części Etapu </w:t>
            </w:r>
            <w:r w:rsidR="003A0D9E" w:rsidRPr="00D96F10">
              <w:rPr>
                <w:rFonts w:asciiTheme="minorHAnsi" w:hAnsiTheme="minorHAnsi" w:cstheme="minorHAnsi"/>
                <w:spacing w:val="4"/>
              </w:rPr>
              <w:t>Inwestycyjnego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. </w:t>
            </w:r>
          </w:p>
        </w:tc>
      </w:tr>
      <w:tr w:rsidR="00D96F10" w:rsidRPr="00D96F10" w14:paraId="072F5F4D" w14:textId="77777777" w:rsidTr="00B53426">
        <w:tc>
          <w:tcPr>
            <w:tcW w:w="875" w:type="dxa"/>
            <w:vAlign w:val="center"/>
          </w:tcPr>
          <w:p w14:paraId="4972F4DB" w14:textId="77777777" w:rsidR="007856E8" w:rsidRPr="00D96F10" w:rsidRDefault="00486334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</w:t>
            </w:r>
            <w:r w:rsidR="004D7D67" w:rsidRPr="00D96F10">
              <w:rPr>
                <w:rFonts w:asciiTheme="minorHAnsi" w:hAnsiTheme="minorHAnsi" w:cstheme="minorHAnsi"/>
              </w:rPr>
              <w:t>.1.12</w:t>
            </w:r>
          </w:p>
        </w:tc>
        <w:tc>
          <w:tcPr>
            <w:tcW w:w="2792" w:type="dxa"/>
            <w:vAlign w:val="center"/>
          </w:tcPr>
          <w:p w14:paraId="5A285D8F" w14:textId="77777777" w:rsidR="007856E8" w:rsidRPr="00D96F10" w:rsidRDefault="004A4FC8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brakiem lub utratą Finansowania</w:t>
            </w:r>
          </w:p>
        </w:tc>
        <w:tc>
          <w:tcPr>
            <w:tcW w:w="6539" w:type="dxa"/>
          </w:tcPr>
          <w:p w14:paraId="599A1548" w14:textId="0FBA2B54" w:rsidR="007856E8" w:rsidRPr="00D96F10" w:rsidRDefault="004A4FC8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</w:t>
            </w:r>
            <w:r w:rsidR="00994B0E" w:rsidRPr="00D96F10">
              <w:rPr>
                <w:rFonts w:asciiTheme="minorHAnsi" w:hAnsiTheme="minorHAnsi" w:cstheme="minorHAnsi"/>
                <w:spacing w:val="4"/>
              </w:rPr>
              <w:t>braku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Zamknięcia Finansowania, naruszenia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 określonych w Umowie warunków Sf</w:t>
            </w:r>
            <w:r w:rsidRPr="00D96F10">
              <w:rPr>
                <w:rFonts w:asciiTheme="minorHAnsi" w:hAnsiTheme="minorHAnsi" w:cstheme="minorHAnsi"/>
                <w:spacing w:val="4"/>
              </w:rPr>
              <w:t>inansowania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 Przedsięwzięcia (pkt 11 </w:t>
            </w:r>
            <w:r w:rsidR="004402E3" w:rsidRPr="00D96F10">
              <w:rPr>
                <w:rFonts w:asciiTheme="minorHAnsi" w:hAnsiTheme="minorHAnsi" w:cstheme="minorHAnsi"/>
                <w:spacing w:val="4"/>
              </w:rPr>
              <w:t>Umowy) lub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utraty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>Sfinansowania Przedsięwzięcia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przez Partnera Prywatnego powodującej zaprzestanie realizacji obowiązków określonych w Umowie, </w:t>
            </w:r>
            <w:r w:rsidR="003A0D9E" w:rsidRPr="00D96F10">
              <w:rPr>
                <w:rFonts w:asciiTheme="minorHAnsi" w:hAnsiTheme="minorHAnsi" w:cstheme="minorHAnsi"/>
                <w:spacing w:val="4"/>
              </w:rPr>
              <w:t xml:space="preserve">(z zastrzeżeniem przypadków, w których Partner Prywatny finansuje Przedsięwzięcie ze środków własnych)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Podmiotowi Publicznemu przysługuje prawo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odstąpienia od Umowy z przyczyn leżących po stronie Partnera Prywatnego.  </w:t>
            </w:r>
          </w:p>
        </w:tc>
      </w:tr>
      <w:tr w:rsidR="00D96F10" w:rsidRPr="00D96F10" w14:paraId="2351D53E" w14:textId="77777777" w:rsidTr="00B53426">
        <w:tc>
          <w:tcPr>
            <w:tcW w:w="875" w:type="dxa"/>
            <w:vAlign w:val="center"/>
          </w:tcPr>
          <w:p w14:paraId="3F67AEEA" w14:textId="77777777" w:rsidR="007856E8" w:rsidRPr="00D96F10" w:rsidRDefault="004A4FC8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1.1.1</w:t>
            </w:r>
            <w:r w:rsidR="004D7D67" w:rsidRPr="00D96F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92" w:type="dxa"/>
            <w:vAlign w:val="center"/>
          </w:tcPr>
          <w:p w14:paraId="07AE2BB7" w14:textId="77777777" w:rsidR="007856E8" w:rsidRPr="00D96F10" w:rsidRDefault="00994B0E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należytego i terminowego wykonania Dokumentacji Projektowej</w:t>
            </w:r>
          </w:p>
        </w:tc>
        <w:tc>
          <w:tcPr>
            <w:tcW w:w="6539" w:type="dxa"/>
          </w:tcPr>
          <w:p w14:paraId="3FCFC3C1" w14:textId="77777777" w:rsidR="00994B0E" w:rsidRPr="00D96F10" w:rsidRDefault="00994B0E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wystąpienia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>wad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Dokumentacji Projektowej, Partner Prywatny zobowiązany jest do ich usunięcia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na zasadach określonych w pkt </w:t>
            </w:r>
            <w:r w:rsidR="003A0D9E" w:rsidRPr="00D96F10">
              <w:rPr>
                <w:rFonts w:asciiTheme="minorHAnsi" w:hAnsiTheme="minorHAnsi" w:cstheme="minorHAnsi"/>
                <w:spacing w:val="4"/>
              </w:rPr>
              <w:t xml:space="preserve">14 i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>23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Umowy.</w:t>
            </w:r>
          </w:p>
          <w:p w14:paraId="20958667" w14:textId="741CF474" w:rsidR="007856E8" w:rsidRPr="00D96F10" w:rsidRDefault="00994B0E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wystąpienia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>wad nienadających się do usunięcia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w Dokumentacji Projektowej opracowanej przez Partnera Prywatnego z przyczyn zawinionych przez Partnera Prywatnego, 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Podmiot Publiczny, na zasadach opisanych w pkt 23.9. Umowy może odpowiednio obniżyć </w:t>
            </w:r>
            <w:r w:rsidR="004402E3" w:rsidRPr="00D96F10">
              <w:rPr>
                <w:rFonts w:asciiTheme="minorHAnsi" w:hAnsiTheme="minorHAnsi" w:cstheme="minorHAnsi"/>
                <w:spacing w:val="4"/>
              </w:rPr>
              <w:t>wynagrodzenie</w:t>
            </w:r>
            <w:r w:rsidR="00BB6791" w:rsidRPr="00D96F10">
              <w:rPr>
                <w:rFonts w:asciiTheme="minorHAnsi" w:hAnsiTheme="minorHAnsi" w:cstheme="minorHAnsi"/>
                <w:spacing w:val="4"/>
              </w:rPr>
              <w:t xml:space="preserve"> bądź odstąpić od Umowy albo żądać wykonania przedmiotu odbioru po raz drugi. </w:t>
            </w:r>
          </w:p>
        </w:tc>
      </w:tr>
      <w:tr w:rsidR="00D96F10" w:rsidRPr="00D96F10" w14:paraId="246A5AFF" w14:textId="77777777" w:rsidTr="00B53426">
        <w:tc>
          <w:tcPr>
            <w:tcW w:w="875" w:type="dxa"/>
            <w:vAlign w:val="center"/>
          </w:tcPr>
          <w:p w14:paraId="360180B0" w14:textId="26D990E6" w:rsidR="005C01FF" w:rsidRPr="00D96F10" w:rsidRDefault="005C01FF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1.1.14</w:t>
            </w:r>
          </w:p>
        </w:tc>
        <w:tc>
          <w:tcPr>
            <w:tcW w:w="2792" w:type="dxa"/>
            <w:vAlign w:val="center"/>
          </w:tcPr>
          <w:p w14:paraId="72B2BF65" w14:textId="03989988" w:rsidR="005C01FF" w:rsidRPr="00D96F10" w:rsidRDefault="005C01F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ze zmianą cen i kosztów wykonania Robót Budowlanych </w:t>
            </w:r>
          </w:p>
        </w:tc>
        <w:tc>
          <w:tcPr>
            <w:tcW w:w="6539" w:type="dxa"/>
          </w:tcPr>
          <w:p w14:paraId="4E656F44" w14:textId="10469EF2" w:rsidR="005C01FF" w:rsidRPr="00D96F10" w:rsidRDefault="005C01F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wzrostu kosztów materiałów/usług/robót związanych z realizacją Etapu Inwestycyjnego, Partnerowi Prywatnemu nie przysługuje roszczenie odszkodowawcze ani prawo żądania zwiększenia Kosztów Inwestycyjnych, z wyłączeniem przypadków, o których mowa w pkt 28.1.10. Umowy. </w:t>
            </w:r>
          </w:p>
        </w:tc>
      </w:tr>
      <w:tr w:rsidR="00D96F10" w:rsidRPr="00D96F10" w14:paraId="68BCC80E" w14:textId="77777777" w:rsidTr="00D96F10">
        <w:tc>
          <w:tcPr>
            <w:tcW w:w="875" w:type="dxa"/>
            <w:vAlign w:val="center"/>
          </w:tcPr>
          <w:p w14:paraId="156E6B5E" w14:textId="15DAF629" w:rsidR="005C01FF" w:rsidRPr="00D96F10" w:rsidRDefault="005C01FF" w:rsidP="00F838A6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1.1.15</w:t>
            </w:r>
          </w:p>
        </w:tc>
        <w:tc>
          <w:tcPr>
            <w:tcW w:w="2792" w:type="dxa"/>
            <w:vAlign w:val="center"/>
          </w:tcPr>
          <w:p w14:paraId="48199F55" w14:textId="0C224BA7" w:rsidR="005C01FF" w:rsidRPr="00D96F10" w:rsidRDefault="005C01F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Akty Wandalizmu</w:t>
            </w:r>
          </w:p>
        </w:tc>
        <w:tc>
          <w:tcPr>
            <w:tcW w:w="6539" w:type="dxa"/>
            <w:vAlign w:val="center"/>
          </w:tcPr>
          <w:p w14:paraId="1A0263D6" w14:textId="1DFA4863" w:rsidR="005C01FF" w:rsidRPr="00D96F10" w:rsidRDefault="005C01F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</w:rPr>
              <w:t xml:space="preserve">Szkody i koszty wynikające z Aktów Wandalizmu na Etapie Utrzymania zostaną według wyboru Podmiotu Publicznego zlikwidowane i poniesione przez Podmiot Publiczny lub zlikwidowane przez Partnera Prywatnego i poniesione przez Podmiot Publiczny. </w:t>
            </w:r>
          </w:p>
        </w:tc>
      </w:tr>
    </w:tbl>
    <w:p w14:paraId="2D53AD95" w14:textId="77777777" w:rsidR="0030779F" w:rsidRPr="00D96F10" w:rsidRDefault="0030779F" w:rsidP="00F838A6">
      <w:pPr>
        <w:spacing w:line="276" w:lineRule="auto"/>
        <w:rPr>
          <w:rFonts w:asciiTheme="minorHAnsi" w:hAnsiTheme="minorHAnsi" w:cstheme="minorHAnsi"/>
          <w:spacing w:val="4"/>
        </w:rPr>
      </w:pPr>
    </w:p>
    <w:p w14:paraId="7E370790" w14:textId="5F61C47F" w:rsidR="00AF6DF2" w:rsidRPr="00D96F10" w:rsidRDefault="00B70BEC" w:rsidP="00F838A6">
      <w:pPr>
        <w:spacing w:after="120" w:line="276" w:lineRule="auto"/>
        <w:outlineLvl w:val="1"/>
        <w:rPr>
          <w:rFonts w:asciiTheme="minorHAnsi" w:hAnsiTheme="minorHAnsi" w:cstheme="minorHAnsi"/>
        </w:rPr>
      </w:pPr>
      <w:bookmarkStart w:id="18" w:name="_Toc501528670"/>
      <w:r w:rsidRPr="00D96F10">
        <w:rPr>
          <w:rFonts w:asciiTheme="minorHAnsi" w:hAnsiTheme="minorHAnsi" w:cstheme="minorHAnsi"/>
          <w:b/>
          <w:bCs/>
          <w:lang w:eastAsia="ar-SA"/>
        </w:rPr>
        <w:t>1.2</w:t>
      </w:r>
      <w:r w:rsidR="00AF6DF2" w:rsidRPr="00D96F10">
        <w:rPr>
          <w:rFonts w:asciiTheme="minorHAnsi" w:hAnsiTheme="minorHAnsi" w:cstheme="minorHAnsi"/>
          <w:b/>
          <w:bCs/>
          <w:lang w:eastAsia="ar-SA"/>
        </w:rPr>
        <w:t xml:space="preserve">. Ryzyka </w:t>
      </w:r>
      <w:r w:rsidR="001343D7" w:rsidRPr="00D96F10">
        <w:rPr>
          <w:rFonts w:asciiTheme="minorHAnsi" w:hAnsiTheme="minorHAnsi" w:cstheme="minorHAnsi"/>
          <w:b/>
          <w:bCs/>
          <w:lang w:eastAsia="ar-SA"/>
        </w:rPr>
        <w:t xml:space="preserve">Projektowania i </w:t>
      </w:r>
      <w:r w:rsidRPr="00D96F10">
        <w:rPr>
          <w:rFonts w:asciiTheme="minorHAnsi" w:hAnsiTheme="minorHAnsi" w:cstheme="minorHAnsi"/>
          <w:b/>
          <w:bCs/>
          <w:lang w:eastAsia="ar-SA"/>
        </w:rPr>
        <w:t>B</w:t>
      </w:r>
      <w:r w:rsidR="00AF6DF2" w:rsidRPr="00D96F10">
        <w:rPr>
          <w:rFonts w:asciiTheme="minorHAnsi" w:hAnsiTheme="minorHAnsi" w:cstheme="minorHAnsi"/>
          <w:b/>
          <w:bCs/>
          <w:lang w:eastAsia="ar-SA"/>
        </w:rPr>
        <w:t>udowy ponoszone przez Podmiot Publiczny</w:t>
      </w:r>
      <w:bookmarkEnd w:id="18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027"/>
        <w:gridCol w:w="6327"/>
      </w:tblGrid>
      <w:tr w:rsidR="00D96F10" w:rsidRPr="00D96F10" w14:paraId="0C696CDF" w14:textId="77777777" w:rsidTr="00B30486">
        <w:tc>
          <w:tcPr>
            <w:tcW w:w="10206" w:type="dxa"/>
            <w:gridSpan w:val="3"/>
            <w:vAlign w:val="center"/>
          </w:tcPr>
          <w:p w14:paraId="202A28BC" w14:textId="004D565B" w:rsidR="0030779F" w:rsidRPr="00D96F10" w:rsidRDefault="00AF6DF2" w:rsidP="00F838A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</w:rPr>
              <w:lastRenderedPageBreak/>
              <w:t xml:space="preserve">Ryzyka </w:t>
            </w:r>
            <w:r w:rsidR="001343D7" w:rsidRPr="00D96F10">
              <w:rPr>
                <w:rFonts w:asciiTheme="minorHAnsi" w:hAnsiTheme="minorHAnsi" w:cstheme="minorHAnsi"/>
                <w:b/>
              </w:rPr>
              <w:t xml:space="preserve">Projektowania i </w:t>
            </w:r>
            <w:r w:rsidR="00B70BEC" w:rsidRPr="00D96F10">
              <w:rPr>
                <w:rFonts w:asciiTheme="minorHAnsi" w:hAnsiTheme="minorHAnsi" w:cstheme="minorHAnsi"/>
                <w:b/>
              </w:rPr>
              <w:t>B</w:t>
            </w:r>
            <w:r w:rsidRPr="00D96F10">
              <w:rPr>
                <w:rFonts w:asciiTheme="minorHAnsi" w:hAnsiTheme="minorHAnsi" w:cstheme="minorHAnsi"/>
                <w:b/>
              </w:rPr>
              <w:t>udowy ponoszone przez Podmiot Publiczny</w:t>
            </w:r>
          </w:p>
        </w:tc>
      </w:tr>
      <w:tr w:rsidR="00D96F10" w:rsidRPr="00D96F10" w14:paraId="599BE670" w14:textId="77777777" w:rsidTr="00B30486">
        <w:tc>
          <w:tcPr>
            <w:tcW w:w="852" w:type="dxa"/>
            <w:vAlign w:val="center"/>
          </w:tcPr>
          <w:p w14:paraId="43825FCF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  <w:spacing w:val="4"/>
              </w:rPr>
              <w:t>Pkt</w:t>
            </w:r>
          </w:p>
        </w:tc>
        <w:tc>
          <w:tcPr>
            <w:tcW w:w="3027" w:type="dxa"/>
            <w:vAlign w:val="center"/>
          </w:tcPr>
          <w:p w14:paraId="7BA255E6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  <w:b/>
              </w:rPr>
              <w:t>Kategoria ryzyka</w:t>
            </w:r>
          </w:p>
        </w:tc>
        <w:tc>
          <w:tcPr>
            <w:tcW w:w="6327" w:type="dxa"/>
            <w:vAlign w:val="center"/>
          </w:tcPr>
          <w:p w14:paraId="1DC64042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</w:rPr>
              <w:t>Opis ryzyka</w:t>
            </w:r>
          </w:p>
        </w:tc>
      </w:tr>
      <w:tr w:rsidR="00D96F10" w:rsidRPr="00D96F10" w14:paraId="3997E0C2" w14:textId="77777777" w:rsidTr="00654057">
        <w:trPr>
          <w:trHeight w:val="2962"/>
        </w:trPr>
        <w:tc>
          <w:tcPr>
            <w:tcW w:w="852" w:type="dxa"/>
            <w:vAlign w:val="center"/>
          </w:tcPr>
          <w:p w14:paraId="4CE434F2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1.2.1</w:t>
            </w:r>
          </w:p>
        </w:tc>
        <w:tc>
          <w:tcPr>
            <w:tcW w:w="3027" w:type="dxa"/>
            <w:vAlign w:val="center"/>
          </w:tcPr>
          <w:p w14:paraId="69D01515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odkryciami archeologicznymi</w:t>
            </w:r>
          </w:p>
        </w:tc>
        <w:tc>
          <w:tcPr>
            <w:tcW w:w="6327" w:type="dxa"/>
          </w:tcPr>
          <w:p w14:paraId="6EC5B96B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</w:t>
            </w:r>
            <w:r w:rsidRPr="00D96F10">
              <w:rPr>
                <w:rFonts w:asciiTheme="minorHAnsi" w:hAnsiTheme="minorHAnsi" w:cstheme="minorHAnsi"/>
              </w:rPr>
              <w:t xml:space="preserve">odkrycia </w:t>
            </w:r>
            <w:r w:rsidR="00FE029D" w:rsidRPr="00D96F10">
              <w:rPr>
                <w:rFonts w:asciiTheme="minorHAnsi" w:hAnsiTheme="minorHAnsi" w:cstheme="minorHAnsi"/>
                <w:spacing w:val="4"/>
              </w:rPr>
              <w:t>archeologicznego powodującego konieczność wstrzymania Robót Budowlanych celem przebadania i zabezpieczenia odkrycia na Terenie Budowy</w:t>
            </w:r>
            <w:r w:rsidRPr="00D96F10">
              <w:rPr>
                <w:rFonts w:asciiTheme="minorHAnsi" w:hAnsiTheme="minorHAnsi" w:cstheme="minorHAnsi"/>
              </w:rPr>
              <w:t>, Podmiot Publiczny po otrzymaniu zgłoszenia o tym fakcie, poinformuje właściwe organy administracji w terminach określonych w przepisach Prawa.</w:t>
            </w:r>
          </w:p>
          <w:p w14:paraId="32672234" w14:textId="77777777" w:rsidR="0030779F" w:rsidRPr="00D96F10" w:rsidRDefault="00AF6DF2" w:rsidP="00F838A6">
            <w:pPr>
              <w:spacing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Odkrycie</w:t>
            </w:r>
            <w:r w:rsidR="00FD120A" w:rsidRPr="00D96F1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96F10">
              <w:rPr>
                <w:rFonts w:asciiTheme="minorHAnsi" w:hAnsiTheme="minorHAnsi" w:cstheme="minorHAnsi"/>
                <w:spacing w:val="4"/>
              </w:rPr>
              <w:t>archeologiczne powodujące</w:t>
            </w:r>
            <w:r w:rsidR="00FE029D" w:rsidRPr="00D96F10">
              <w:rPr>
                <w:rFonts w:asciiTheme="minorHAnsi" w:hAnsiTheme="minorHAnsi" w:cstheme="minorHAnsi"/>
                <w:spacing w:val="4"/>
              </w:rPr>
              <w:t xml:space="preserve"> konieczność wstrzymania Robót Budowlanych celem przebadania i zabezpieczenia odkrycia na Terenie Budowy stanowi Zdarzenie Nieprzewidywalne</w:t>
            </w:r>
            <w:r w:rsidR="00E96AAD" w:rsidRPr="00D96F10">
              <w:rPr>
                <w:rFonts w:asciiTheme="minorHAnsi" w:hAnsiTheme="minorHAnsi" w:cstheme="minorHAnsi"/>
                <w:spacing w:val="4"/>
              </w:rPr>
              <w:t xml:space="preserve"> w rozumieniu pkt 29.1. Umowy</w:t>
            </w:r>
            <w:r w:rsidR="00FE029D"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</w:tc>
      </w:tr>
      <w:tr w:rsidR="00D96F10" w:rsidRPr="00D96F10" w14:paraId="2E77FEC5" w14:textId="77777777" w:rsidTr="00B30486">
        <w:tc>
          <w:tcPr>
            <w:tcW w:w="852" w:type="dxa"/>
            <w:vAlign w:val="center"/>
          </w:tcPr>
          <w:p w14:paraId="12965157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1.2.2</w:t>
            </w:r>
          </w:p>
        </w:tc>
        <w:tc>
          <w:tcPr>
            <w:tcW w:w="3027" w:type="dxa"/>
            <w:vAlign w:val="center"/>
          </w:tcPr>
          <w:p w14:paraId="2BBB286F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ze zmianą celów politycznych</w:t>
            </w:r>
          </w:p>
        </w:tc>
        <w:tc>
          <w:tcPr>
            <w:tcW w:w="6327" w:type="dxa"/>
          </w:tcPr>
          <w:p w14:paraId="460AFC25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zmiany celów politycznych Podmiotu Publicznego skutkujących zaprzestaniem realizacji Umowy lub odstąpieniem od Umowy na Etapie Robót, Podmiot Publiczny zobowiązany będzie do zapłaty Partnerowi Prywatnemu kwoty Wynagrodzenia za Etap </w:t>
            </w:r>
            <w:r w:rsidR="00E96AAD" w:rsidRPr="00D96F10">
              <w:rPr>
                <w:rFonts w:asciiTheme="minorHAnsi" w:hAnsiTheme="minorHAnsi" w:cstheme="minorHAnsi"/>
                <w:spacing w:val="4"/>
              </w:rPr>
              <w:t xml:space="preserve">Inwestycyjny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na zasadach określonych w Umowie na wypadek wcześniejszego zakończenia Umowy. </w:t>
            </w:r>
          </w:p>
        </w:tc>
      </w:tr>
      <w:tr w:rsidR="00D96F10" w:rsidRPr="00D96F10" w14:paraId="5A7A8BCD" w14:textId="77777777" w:rsidTr="00B30486">
        <w:tc>
          <w:tcPr>
            <w:tcW w:w="852" w:type="dxa"/>
            <w:vAlign w:val="center"/>
          </w:tcPr>
          <w:p w14:paraId="266E3FD3" w14:textId="165DD1FA" w:rsidR="0030779F" w:rsidRPr="00D96F10" w:rsidRDefault="00F81DD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1.2.3.</w:t>
            </w:r>
          </w:p>
        </w:tc>
        <w:tc>
          <w:tcPr>
            <w:tcW w:w="3027" w:type="dxa"/>
            <w:vAlign w:val="center"/>
          </w:tcPr>
          <w:p w14:paraId="6E934B12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wystąpieniem Siły Wyższej</w:t>
            </w:r>
          </w:p>
        </w:tc>
        <w:tc>
          <w:tcPr>
            <w:tcW w:w="6327" w:type="dxa"/>
          </w:tcPr>
          <w:p w14:paraId="23B3E2CC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Siła wyższa rozumiana jest jako zdarzenie nagłe i nieprzewidywalne, którego skutkom Partner Prywatny nie mógł się przeciwstawić bądź którego skutkom przeciwstawienie się przez Partnera Prywatnego wiązałoby się z poniesieniem kosztów niewspółmiernych do kosztów ponoszonych w normalnym toku realizacji Przedsięwzięcia.</w:t>
            </w:r>
          </w:p>
          <w:p w14:paraId="47106188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Ziszczenie się zdarzeń stanowiących Siłę Wyższą mającej wpływ na realizację Przedsięwzięcia na Etapie </w:t>
            </w:r>
            <w:r w:rsidR="00E96AAD" w:rsidRPr="00D96F10">
              <w:rPr>
                <w:rFonts w:asciiTheme="minorHAnsi" w:hAnsiTheme="minorHAnsi" w:cstheme="minorHAnsi"/>
                <w:spacing w:val="4"/>
              </w:rPr>
              <w:t xml:space="preserve">Inwestycyjnym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i powodującej </w:t>
            </w:r>
            <w:r w:rsidR="00B30486" w:rsidRPr="00D96F10">
              <w:rPr>
                <w:rFonts w:asciiTheme="minorHAnsi" w:hAnsiTheme="minorHAnsi" w:cstheme="minorHAnsi"/>
                <w:spacing w:val="4"/>
              </w:rPr>
              <w:t xml:space="preserve">w </w:t>
            </w:r>
            <w:r w:rsidRPr="00D96F10">
              <w:rPr>
                <w:rFonts w:asciiTheme="minorHAnsi" w:hAnsiTheme="minorHAnsi" w:cstheme="minorHAnsi"/>
                <w:spacing w:val="4"/>
              </w:rPr>
              <w:t>udokumentowany sposób bezpośredni wzrost kosztów jego realizacji przez Partnera Prywatnego stanowi Zdarzenie Nieprzewidywalne</w:t>
            </w:r>
            <w:r w:rsidR="00E96AAD" w:rsidRPr="00D96F10">
              <w:rPr>
                <w:rFonts w:asciiTheme="minorHAnsi" w:hAnsiTheme="minorHAnsi" w:cstheme="minorHAnsi"/>
                <w:spacing w:val="4"/>
              </w:rPr>
              <w:t xml:space="preserve"> w rozumieniu 29.1. Umowy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. </w:t>
            </w:r>
          </w:p>
        </w:tc>
      </w:tr>
      <w:tr w:rsidR="00D96F10" w:rsidRPr="00D96F10" w14:paraId="160D6671" w14:textId="77777777" w:rsidTr="00B30486">
        <w:tc>
          <w:tcPr>
            <w:tcW w:w="852" w:type="dxa"/>
            <w:vAlign w:val="center"/>
          </w:tcPr>
          <w:p w14:paraId="2A5218CE" w14:textId="65498AD9" w:rsidR="0030779F" w:rsidRPr="00D96F10" w:rsidRDefault="00E7142C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</w:t>
            </w:r>
            <w:r w:rsidR="00F81DD2" w:rsidRPr="00D96F10">
              <w:rPr>
                <w:rFonts w:asciiTheme="minorHAnsi" w:hAnsiTheme="minorHAnsi" w:cstheme="minorHAnsi"/>
                <w:spacing w:val="4"/>
              </w:rPr>
              <w:t>4.</w:t>
            </w:r>
          </w:p>
        </w:tc>
        <w:tc>
          <w:tcPr>
            <w:tcW w:w="3027" w:type="dxa"/>
            <w:vAlign w:val="center"/>
          </w:tcPr>
          <w:p w14:paraId="2A8E6ECE" w14:textId="77777777" w:rsidR="0030779F" w:rsidRPr="00D96F10" w:rsidRDefault="0030779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Ryzyko wpływu konserwatora zabytków na zakres prac</w:t>
            </w:r>
          </w:p>
        </w:tc>
        <w:tc>
          <w:tcPr>
            <w:tcW w:w="6327" w:type="dxa"/>
          </w:tcPr>
          <w:p w14:paraId="353D91C1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Pod warunkiem złożenia przez Partnera Prywatnego kompletnego wniosku o wydanie decyzji przez konserwatora zabytków, decyzja konserwatora zabytków powodująca wzrost kosztów po stronie Partnera Prywatnego stanowi Zdarzenie Nieprzewidywalne</w:t>
            </w:r>
            <w:r w:rsidR="00E96AAD" w:rsidRPr="00D96F10">
              <w:rPr>
                <w:rFonts w:asciiTheme="minorHAnsi" w:hAnsiTheme="minorHAnsi" w:cstheme="minorHAnsi"/>
                <w:spacing w:val="4"/>
              </w:rPr>
              <w:t xml:space="preserve"> w rozumieniu 29.1. Umowy</w:t>
            </w:r>
            <w:r w:rsidRPr="00D96F10">
              <w:rPr>
                <w:rFonts w:asciiTheme="minorHAnsi" w:hAnsiTheme="minorHAnsi" w:cstheme="minorHAnsi"/>
              </w:rPr>
              <w:t>.</w:t>
            </w:r>
            <w:r w:rsidR="00E96AAD" w:rsidRPr="00D96F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6F10" w:rsidRPr="00D96F10" w14:paraId="7022D547" w14:textId="77777777" w:rsidTr="00B30486">
        <w:tc>
          <w:tcPr>
            <w:tcW w:w="852" w:type="dxa"/>
            <w:vAlign w:val="center"/>
          </w:tcPr>
          <w:p w14:paraId="1B1FC1EA" w14:textId="7FDBA524" w:rsidR="0030779F" w:rsidRPr="00D96F10" w:rsidRDefault="00E7142C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</w:t>
            </w:r>
            <w:r w:rsidR="00F81DD2" w:rsidRPr="00D96F10">
              <w:rPr>
                <w:rFonts w:asciiTheme="minorHAnsi" w:hAnsiTheme="minorHAnsi" w:cstheme="minorHAnsi"/>
                <w:spacing w:val="4"/>
              </w:rPr>
              <w:t>5.</w:t>
            </w:r>
          </w:p>
        </w:tc>
        <w:tc>
          <w:tcPr>
            <w:tcW w:w="3027" w:type="dxa"/>
            <w:vAlign w:val="center"/>
          </w:tcPr>
          <w:p w14:paraId="2C5EDEB6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</w:t>
            </w:r>
            <w:r w:rsidR="004A3DEF" w:rsidRPr="00D96F10">
              <w:rPr>
                <w:rFonts w:asciiTheme="minorHAnsi" w:hAnsiTheme="minorHAnsi" w:cstheme="minorHAnsi"/>
              </w:rPr>
              <w:t xml:space="preserve">związane z planowaniem </w:t>
            </w:r>
            <w:r w:rsidR="006671E9" w:rsidRPr="00D96F10">
              <w:rPr>
                <w:rFonts w:asciiTheme="minorHAnsi" w:hAnsiTheme="minorHAnsi" w:cstheme="minorHAnsi"/>
              </w:rPr>
              <w:t>Przedsięwzięcia</w:t>
            </w:r>
          </w:p>
        </w:tc>
        <w:tc>
          <w:tcPr>
            <w:tcW w:w="6327" w:type="dxa"/>
          </w:tcPr>
          <w:p w14:paraId="4E92C881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Podmiot Publiczny ponosi ryzyka związane z poprawnością Programu </w:t>
            </w:r>
            <w:proofErr w:type="spellStart"/>
            <w:r w:rsidRPr="00D96F10">
              <w:rPr>
                <w:rFonts w:asciiTheme="minorHAnsi" w:hAnsiTheme="minorHAnsi" w:cstheme="minorHAnsi"/>
              </w:rPr>
              <w:t>Funkcjonalno</w:t>
            </w:r>
            <w:proofErr w:type="spellEnd"/>
            <w:r w:rsidRPr="00D96F10">
              <w:rPr>
                <w:rFonts w:asciiTheme="minorHAnsi" w:hAnsiTheme="minorHAnsi" w:cstheme="minorHAnsi"/>
              </w:rPr>
              <w:t xml:space="preserve"> - Użytkowego, z zastrzeżeniem obowiązków Partnera Prywatnego określonego w pkt 14.3. Umowy.</w:t>
            </w:r>
            <w:r w:rsidR="00E96AAD" w:rsidRPr="00D96F10">
              <w:rPr>
                <w:rFonts w:asciiTheme="minorHAnsi" w:hAnsiTheme="minorHAnsi" w:cstheme="minorHAnsi"/>
              </w:rPr>
              <w:t xml:space="preserve"> Wada w rozumieniu k.c. Programu </w:t>
            </w:r>
            <w:proofErr w:type="spellStart"/>
            <w:r w:rsidR="00E96AAD" w:rsidRPr="00D96F10">
              <w:rPr>
                <w:rFonts w:asciiTheme="minorHAnsi" w:hAnsiTheme="minorHAnsi" w:cstheme="minorHAnsi"/>
              </w:rPr>
              <w:t>Funkcjonalno</w:t>
            </w:r>
            <w:proofErr w:type="spellEnd"/>
            <w:r w:rsidR="00E96AAD" w:rsidRPr="00D96F10">
              <w:rPr>
                <w:rFonts w:asciiTheme="minorHAnsi" w:hAnsiTheme="minorHAnsi" w:cstheme="minorHAnsi"/>
              </w:rPr>
              <w:t xml:space="preserve"> – Użytkowego oraz innych dokumentów Podmiotu Publicznego niezbędnych do projektowania, której Partner Prywatny nie był w stanie zidentyfikować do momentu złożenia </w:t>
            </w:r>
            <w:r w:rsidR="00E96AAD" w:rsidRPr="00D96F10">
              <w:rPr>
                <w:rFonts w:asciiTheme="minorHAnsi" w:hAnsiTheme="minorHAnsi" w:cstheme="minorHAnsi"/>
              </w:rPr>
              <w:lastRenderedPageBreak/>
              <w:t xml:space="preserve">Oferty, pomimo dołożenia należytej staranności właściwej dla profesjonalisty, stanowi Zdarzenie Nieprzewidywalne, o którym mowa w pkt 29.1. Umowy. </w:t>
            </w:r>
          </w:p>
        </w:tc>
      </w:tr>
      <w:tr w:rsidR="00D96F10" w:rsidRPr="00D96F10" w14:paraId="0E253715" w14:textId="77777777" w:rsidTr="00AB593C">
        <w:tc>
          <w:tcPr>
            <w:tcW w:w="10206" w:type="dxa"/>
            <w:gridSpan w:val="3"/>
            <w:vAlign w:val="center"/>
          </w:tcPr>
          <w:p w14:paraId="05E3C5BA" w14:textId="71E3286E" w:rsidR="00F81DD2" w:rsidRPr="00D96F10" w:rsidRDefault="00F81DD2" w:rsidP="00F838A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</w:rPr>
              <w:lastRenderedPageBreak/>
              <w:t>Ryzyka Projektowania i Budowy ponoszone przez Podmiot Publiczny, które Partner Prywatny może przyjąć na siebie w ramach kryterium oceny ofert, zgodnie z oświadczeniem złożonym w Ofercie</w:t>
            </w:r>
          </w:p>
        </w:tc>
      </w:tr>
      <w:tr w:rsidR="00D96F10" w:rsidRPr="00D96F10" w14:paraId="31FE7188" w14:textId="77777777" w:rsidTr="00D25508">
        <w:tc>
          <w:tcPr>
            <w:tcW w:w="852" w:type="dxa"/>
            <w:vAlign w:val="center"/>
          </w:tcPr>
          <w:p w14:paraId="035CEB86" w14:textId="285B5DDA" w:rsidR="00F81DD2" w:rsidRPr="00D96F10" w:rsidRDefault="00F81DD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bookmarkStart w:id="19" w:name="_Hlk38073968"/>
            <w:r w:rsidRPr="00D96F10">
              <w:rPr>
                <w:rFonts w:asciiTheme="minorHAnsi" w:hAnsiTheme="minorHAnsi" w:cstheme="minorHAnsi"/>
                <w:spacing w:val="4"/>
              </w:rPr>
              <w:t>1.2.6.</w:t>
            </w:r>
          </w:p>
        </w:tc>
        <w:tc>
          <w:tcPr>
            <w:tcW w:w="3027" w:type="dxa"/>
            <w:vAlign w:val="center"/>
          </w:tcPr>
          <w:p w14:paraId="1EC4285B" w14:textId="36C1E1D9" w:rsidR="00F81DD2" w:rsidRPr="00D96F10" w:rsidRDefault="00F81DD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 wystąpieniem Zmian Prawa mających wpływ na realizację Etapu Inwestycyjnego </w:t>
            </w:r>
          </w:p>
        </w:tc>
        <w:tc>
          <w:tcPr>
            <w:tcW w:w="6327" w:type="dxa"/>
          </w:tcPr>
          <w:p w14:paraId="35A4CC28" w14:textId="77777777" w:rsidR="00F81DD2" w:rsidRPr="00D96F10" w:rsidRDefault="00F81DD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wypadku wystąpienia Zmian Prawa mających wpływ na realizację Przedsięwzięcia na Etapie Inwestycyjnym, Strony podejmą procedurę określoną w pkt 29.2. Umowy. </w:t>
            </w:r>
          </w:p>
          <w:p w14:paraId="664CF922" w14:textId="33A24807" w:rsidR="00F81DD2" w:rsidRPr="00D96F10" w:rsidRDefault="00F81DD2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W przypadku przyjęcia ryzyka na siebie przez Partnera Prywatnego, prawo podjęcia procedury, o której mowa w pkt 29. 2 Umowy przysługuje Podmiotowi Publicznemu.</w:t>
            </w:r>
          </w:p>
        </w:tc>
      </w:tr>
      <w:bookmarkEnd w:id="19"/>
      <w:tr w:rsidR="00D96F10" w:rsidRPr="00D96F10" w14:paraId="75DF5D9F" w14:textId="77777777" w:rsidTr="00E011B3">
        <w:tc>
          <w:tcPr>
            <w:tcW w:w="852" w:type="dxa"/>
            <w:vAlign w:val="center"/>
          </w:tcPr>
          <w:p w14:paraId="095642A1" w14:textId="3DBE3A5D" w:rsidR="00F81DD2" w:rsidRPr="00D96F10" w:rsidRDefault="00F81DD2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1.2.7.</w:t>
            </w:r>
          </w:p>
        </w:tc>
        <w:tc>
          <w:tcPr>
            <w:tcW w:w="3027" w:type="dxa"/>
            <w:vAlign w:val="center"/>
          </w:tcPr>
          <w:p w14:paraId="4D46D442" w14:textId="33F7714A" w:rsidR="00F81DD2" w:rsidRPr="00D96F10" w:rsidRDefault="00F81DD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protestami społecznymi</w:t>
            </w:r>
          </w:p>
        </w:tc>
        <w:tc>
          <w:tcPr>
            <w:tcW w:w="6327" w:type="dxa"/>
          </w:tcPr>
          <w:p w14:paraId="73B1FF78" w14:textId="77777777" w:rsidR="00F81DD2" w:rsidRPr="00D96F10" w:rsidRDefault="00F81DD2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Podmiot Publiczny ponosi ryzyka związane z wystąpieniem protestów społecznych mających wpływ na realizację Etapu Inwestycyjnego, zgodnie z zasadami określonymi w pkt 29 Umowy.</w:t>
            </w:r>
          </w:p>
          <w:p w14:paraId="3149C38A" w14:textId="098344D9" w:rsidR="00F81DD2" w:rsidRPr="00D96F10" w:rsidRDefault="00F81DD2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W przypadku przyjęcia ryzyka na siebie przez Partnera Prywatnego, skorzystanie z uprawnień, o których mowa w pkt 29 Umowy przysługuje Podmiotowi Publicznemu.</w:t>
            </w:r>
          </w:p>
        </w:tc>
      </w:tr>
    </w:tbl>
    <w:p w14:paraId="15178A76" w14:textId="77777777" w:rsidR="0030779F" w:rsidRPr="00D96F10" w:rsidRDefault="0030779F" w:rsidP="00F838A6">
      <w:pPr>
        <w:spacing w:line="276" w:lineRule="auto"/>
        <w:rPr>
          <w:rFonts w:asciiTheme="minorHAnsi" w:hAnsiTheme="minorHAnsi" w:cstheme="minorHAnsi"/>
          <w:spacing w:val="4"/>
        </w:rPr>
      </w:pPr>
    </w:p>
    <w:p w14:paraId="43278159" w14:textId="77777777" w:rsidR="0030779F" w:rsidRPr="00D96F10" w:rsidRDefault="0077536A" w:rsidP="00F838A6">
      <w:pPr>
        <w:spacing w:after="120" w:line="276" w:lineRule="auto"/>
        <w:outlineLvl w:val="1"/>
        <w:rPr>
          <w:rFonts w:asciiTheme="minorHAnsi" w:hAnsiTheme="minorHAnsi" w:cstheme="minorHAnsi"/>
          <w:b/>
          <w:bCs/>
          <w:lang w:eastAsia="ar-SA"/>
        </w:rPr>
      </w:pPr>
      <w:bookmarkStart w:id="20" w:name="_Toc501528671"/>
      <w:r w:rsidRPr="00D96F10">
        <w:rPr>
          <w:rFonts w:asciiTheme="minorHAnsi" w:hAnsiTheme="minorHAnsi" w:cstheme="minorHAnsi"/>
          <w:b/>
          <w:bCs/>
          <w:lang w:eastAsia="ar-SA"/>
        </w:rPr>
        <w:t xml:space="preserve">1.3. </w:t>
      </w:r>
      <w:r w:rsidR="0030779F" w:rsidRPr="00D96F10">
        <w:rPr>
          <w:rFonts w:asciiTheme="minorHAnsi" w:hAnsiTheme="minorHAnsi" w:cstheme="minorHAnsi"/>
          <w:b/>
          <w:bCs/>
          <w:lang w:eastAsia="ar-SA"/>
        </w:rPr>
        <w:t>Ryzyka dostępności ponoszone przez Partnera Prywatnego</w:t>
      </w:r>
      <w:bookmarkEnd w:id="2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42"/>
        <w:gridCol w:w="6522"/>
      </w:tblGrid>
      <w:tr w:rsidR="00D96F10" w:rsidRPr="00D96F10" w14:paraId="7737E257" w14:textId="77777777" w:rsidTr="00436B55">
        <w:tc>
          <w:tcPr>
            <w:tcW w:w="10206" w:type="dxa"/>
            <w:gridSpan w:val="3"/>
            <w:vAlign w:val="center"/>
          </w:tcPr>
          <w:p w14:paraId="5D99FAD0" w14:textId="77777777" w:rsidR="0030779F" w:rsidRPr="00D96F10" w:rsidRDefault="00AF6DF2" w:rsidP="00F838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96F10">
              <w:rPr>
                <w:rFonts w:asciiTheme="minorHAnsi" w:hAnsiTheme="minorHAnsi" w:cstheme="minorHAnsi"/>
                <w:b/>
              </w:rPr>
              <w:t>Ryzyka dostępności ponoszone przez Partnera Prywatnego</w:t>
            </w:r>
          </w:p>
        </w:tc>
      </w:tr>
      <w:tr w:rsidR="00D96F10" w:rsidRPr="00D96F10" w14:paraId="7CB06EA8" w14:textId="77777777" w:rsidTr="005C01FF">
        <w:trPr>
          <w:trHeight w:val="389"/>
        </w:trPr>
        <w:tc>
          <w:tcPr>
            <w:tcW w:w="718" w:type="dxa"/>
          </w:tcPr>
          <w:p w14:paraId="35F30936" w14:textId="77777777" w:rsidR="0030779F" w:rsidRPr="00D96F10" w:rsidRDefault="0030779F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2947" w:type="dxa"/>
          </w:tcPr>
          <w:p w14:paraId="47B51BC8" w14:textId="77777777" w:rsidR="0030779F" w:rsidRPr="00D96F10" w:rsidRDefault="0030779F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Kategoria ryzyka</w:t>
            </w:r>
          </w:p>
        </w:tc>
        <w:tc>
          <w:tcPr>
            <w:tcW w:w="6541" w:type="dxa"/>
          </w:tcPr>
          <w:p w14:paraId="09F7A638" w14:textId="77777777" w:rsidR="0030779F" w:rsidRPr="00D96F10" w:rsidRDefault="0030779F" w:rsidP="00F838A6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D96F10">
              <w:rPr>
                <w:rFonts w:asciiTheme="minorHAnsi" w:hAnsiTheme="minorHAnsi" w:cstheme="minorHAnsi"/>
                <w:b/>
              </w:rPr>
              <w:t>Opis ryzyka</w:t>
            </w:r>
          </w:p>
        </w:tc>
      </w:tr>
      <w:tr w:rsidR="00D96F10" w:rsidRPr="00D96F10" w14:paraId="46B232AF" w14:textId="77777777" w:rsidTr="005C01FF">
        <w:tc>
          <w:tcPr>
            <w:tcW w:w="718" w:type="dxa"/>
            <w:vAlign w:val="center"/>
          </w:tcPr>
          <w:p w14:paraId="17922BB4" w14:textId="77777777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D96F10">
              <w:rPr>
                <w:rFonts w:asciiTheme="minorHAnsi" w:hAnsiTheme="minorHAnsi" w:cstheme="minorHAnsi"/>
                <w:bCs/>
                <w:lang w:eastAsia="ar-SA"/>
              </w:rPr>
              <w:t>1.3.1.</w:t>
            </w:r>
          </w:p>
        </w:tc>
        <w:tc>
          <w:tcPr>
            <w:tcW w:w="2947" w:type="dxa"/>
            <w:vAlign w:val="center"/>
          </w:tcPr>
          <w:p w14:paraId="5DA357DA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 brakiem zgodności realizacji Etapu Utrzymania z ogólnymi przepisami bezpieczeństwa i higieny pracy </w:t>
            </w:r>
            <w:bookmarkStart w:id="21" w:name="mip30431958"/>
            <w:bookmarkEnd w:id="21"/>
          </w:p>
        </w:tc>
        <w:tc>
          <w:tcPr>
            <w:tcW w:w="6541" w:type="dxa"/>
          </w:tcPr>
          <w:p w14:paraId="5E6E40A0" w14:textId="77777777" w:rsidR="0030779F" w:rsidRPr="00D96F10" w:rsidRDefault="0030779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W przypadku niezgodności realizacji Etapu Utrzymania z ogólnymi przepisami bezpieczeństwa i higieny pracy z przyczyn zawinionych przez Partnera Prywatnego, Partner Prywatny poniesie we własnym zakresie kary nałożone przez właściwe organy administracji bez prawa regresu względem Podmiotu Publicznego, a ponadto poniesie we własnym zakresie koszty przywrócenia stanu zgodnego z Prawem.</w:t>
            </w:r>
          </w:p>
        </w:tc>
      </w:tr>
      <w:tr w:rsidR="00D96F10" w:rsidRPr="00D96F10" w14:paraId="3DB7E9A4" w14:textId="77777777" w:rsidTr="005C01FF">
        <w:tc>
          <w:tcPr>
            <w:tcW w:w="718" w:type="dxa"/>
            <w:vAlign w:val="center"/>
          </w:tcPr>
          <w:p w14:paraId="3D4F4761" w14:textId="77777777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bCs/>
                <w:lang w:eastAsia="ar-SA"/>
              </w:rPr>
            </w:pPr>
            <w:bookmarkStart w:id="22" w:name="mip30431959"/>
            <w:bookmarkStart w:id="23" w:name="mip30431960"/>
            <w:bookmarkEnd w:id="22"/>
            <w:bookmarkEnd w:id="23"/>
            <w:r w:rsidRPr="00D96F10">
              <w:rPr>
                <w:rFonts w:asciiTheme="minorHAnsi" w:hAnsiTheme="minorHAnsi" w:cstheme="minorHAnsi"/>
                <w:bCs/>
                <w:lang w:eastAsia="ar-SA"/>
              </w:rPr>
              <w:t>1.3.2.</w:t>
            </w:r>
          </w:p>
        </w:tc>
        <w:tc>
          <w:tcPr>
            <w:tcW w:w="2947" w:type="dxa"/>
            <w:vAlign w:val="center"/>
          </w:tcPr>
          <w:p w14:paraId="25722BFB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brakiem zasobów ludzkich i materialnych</w:t>
            </w:r>
            <w:bookmarkStart w:id="24" w:name="mip30431961"/>
            <w:bookmarkStart w:id="25" w:name="mip30431962"/>
            <w:bookmarkEnd w:id="24"/>
            <w:bookmarkEnd w:id="25"/>
          </w:p>
        </w:tc>
        <w:tc>
          <w:tcPr>
            <w:tcW w:w="6541" w:type="dxa"/>
          </w:tcPr>
          <w:p w14:paraId="280E0A8F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W przypadku niezapewnienia przez Partnera Prywatnego zasobów ludzkich lub materialnych z przyczyn od niego zależnych, powodujących nierozpoczęcie lub zaprzestanie realizacji obowiązków określonych w Umowie na Etapie Utrzymania, Partnerowi Prywatnemu nie przysługuje prawo żądania wydłużenia terminów na wykonywanie czynności określonych w Umowie, ani wzrostu Wynagrodzenia za Etap Utrzymania. W przypadku gdy niezapewnienie przez Partnera Prywatnego zasobów ludzkich lub materialnych doprowadzi do nienależytego wykonania Umowy, Podmiot Publiczny naliczy Partnerowi Prywatnemu kary umowne zgodnie z pkt 3</w:t>
            </w:r>
            <w:r w:rsidR="00436B55" w:rsidRPr="00D96F10">
              <w:rPr>
                <w:rFonts w:asciiTheme="minorHAnsi" w:hAnsiTheme="minorHAnsi" w:cstheme="minorHAnsi"/>
              </w:rPr>
              <w:t>4</w:t>
            </w:r>
            <w:r w:rsidRPr="00D96F10">
              <w:rPr>
                <w:rFonts w:asciiTheme="minorHAnsi" w:hAnsiTheme="minorHAnsi" w:cstheme="minorHAnsi"/>
              </w:rPr>
              <w:t>.1.2. Umowy lub dokona wypowiedzenia Umowy</w:t>
            </w:r>
            <w:r w:rsidR="00452A0A" w:rsidRPr="00D96F10">
              <w:rPr>
                <w:rFonts w:asciiTheme="minorHAnsi" w:hAnsiTheme="minorHAnsi" w:cstheme="minorHAnsi"/>
              </w:rPr>
              <w:t xml:space="preserve"> na zasadach określonych w Umowie</w:t>
            </w:r>
            <w:r w:rsidRPr="00D96F10">
              <w:rPr>
                <w:rFonts w:asciiTheme="minorHAnsi" w:hAnsiTheme="minorHAnsi" w:cstheme="minorHAnsi"/>
              </w:rPr>
              <w:t>.</w:t>
            </w:r>
          </w:p>
        </w:tc>
      </w:tr>
      <w:tr w:rsidR="00D96F10" w:rsidRPr="00D96F10" w14:paraId="0388C3E1" w14:textId="77777777" w:rsidTr="005C01FF">
        <w:tc>
          <w:tcPr>
            <w:tcW w:w="718" w:type="dxa"/>
            <w:vAlign w:val="center"/>
          </w:tcPr>
          <w:p w14:paraId="538AFC50" w14:textId="77777777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D96F10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1.3.4.</w:t>
            </w:r>
          </w:p>
        </w:tc>
        <w:tc>
          <w:tcPr>
            <w:tcW w:w="2947" w:type="dxa"/>
            <w:vAlign w:val="center"/>
          </w:tcPr>
          <w:p w14:paraId="15FE6AB2" w14:textId="77777777" w:rsidR="0030779F" w:rsidRPr="00D96F10" w:rsidRDefault="0030779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uszkodzeniem zainstalowanych przez Partnera Prywatnego w Obiektach instalacji, systemów i urządzeń</w:t>
            </w:r>
            <w:bookmarkStart w:id="26" w:name="mip30431963"/>
            <w:bookmarkStart w:id="27" w:name="mip30431964"/>
            <w:bookmarkEnd w:id="26"/>
            <w:bookmarkEnd w:id="27"/>
          </w:p>
        </w:tc>
        <w:tc>
          <w:tcPr>
            <w:tcW w:w="6541" w:type="dxa"/>
          </w:tcPr>
          <w:p w14:paraId="5C4FFC23" w14:textId="77777777" w:rsidR="0030779F" w:rsidRPr="00D96F10" w:rsidRDefault="0030779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  <w:lang w:eastAsia="en-US"/>
              </w:rPr>
            </w:pPr>
            <w:r w:rsidRPr="00D96F10">
              <w:rPr>
                <w:rFonts w:asciiTheme="minorHAnsi" w:hAnsiTheme="minorHAnsi" w:cstheme="minorHAnsi"/>
              </w:rPr>
              <w:t>W przypadku uszkodzenia zainstalowanych przez Partnera Prywatnego w Obiektach instalacji, systemów i urządzeń z przyczyn leżących po stronie Partnera Prywatnego, Partner Prywatny zobowiązany jest do przywrócenia ich sprawności na własny koszt w ramach Wynagrodzenia.</w:t>
            </w:r>
          </w:p>
        </w:tc>
      </w:tr>
      <w:tr w:rsidR="00D96F10" w:rsidRPr="00D96F10" w14:paraId="787770DD" w14:textId="77777777" w:rsidTr="005C01FF">
        <w:tc>
          <w:tcPr>
            <w:tcW w:w="718" w:type="dxa"/>
            <w:vAlign w:val="center"/>
          </w:tcPr>
          <w:p w14:paraId="30CF3733" w14:textId="77777777" w:rsidR="0071089E" w:rsidRPr="00D96F10" w:rsidRDefault="0071089E" w:rsidP="00F838A6">
            <w:pPr>
              <w:spacing w:line="276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D96F10">
              <w:rPr>
                <w:rFonts w:asciiTheme="minorHAnsi" w:hAnsiTheme="minorHAnsi" w:cstheme="minorHAnsi"/>
                <w:bCs/>
                <w:lang w:eastAsia="ar-SA"/>
              </w:rPr>
              <w:t>1.3.5.</w:t>
            </w:r>
          </w:p>
        </w:tc>
        <w:tc>
          <w:tcPr>
            <w:tcW w:w="2947" w:type="dxa"/>
            <w:vAlign w:val="center"/>
          </w:tcPr>
          <w:p w14:paraId="18857CAA" w14:textId="77777777" w:rsidR="0071089E" w:rsidRPr="00D96F10" w:rsidRDefault="0071089E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prowadzeniem uzgodnień z gestorami sieci</w:t>
            </w:r>
          </w:p>
        </w:tc>
        <w:tc>
          <w:tcPr>
            <w:tcW w:w="6541" w:type="dxa"/>
          </w:tcPr>
          <w:p w14:paraId="540C5721" w14:textId="77777777" w:rsidR="0071089E" w:rsidRPr="00D96F10" w:rsidRDefault="0071089E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Partner Prywatny zobowiązany jest do prowadzenia uzgodnień z gestorami sieci na Etapie Utrzymania umożliwiających realizację Etapu Utrzymania oraz do ponoszenia kosztów uzgodnień.</w:t>
            </w:r>
          </w:p>
        </w:tc>
      </w:tr>
      <w:tr w:rsidR="00D96F10" w:rsidRPr="00D96F10" w14:paraId="6C7E6F3B" w14:textId="77777777" w:rsidTr="00D96F10">
        <w:tc>
          <w:tcPr>
            <w:tcW w:w="718" w:type="dxa"/>
            <w:vAlign w:val="center"/>
          </w:tcPr>
          <w:p w14:paraId="3A6ACC27" w14:textId="038BC915" w:rsidR="005C01FF" w:rsidRPr="00D96F10" w:rsidRDefault="005C01FF" w:rsidP="00F838A6">
            <w:pPr>
              <w:spacing w:line="276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1.4.7.</w:t>
            </w:r>
          </w:p>
        </w:tc>
        <w:tc>
          <w:tcPr>
            <w:tcW w:w="2947" w:type="dxa"/>
            <w:vAlign w:val="center"/>
          </w:tcPr>
          <w:p w14:paraId="2E26BBA7" w14:textId="3D652106" w:rsidR="005C01FF" w:rsidRPr="00D96F10" w:rsidRDefault="005C01FF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Akty Wandalizmu</w:t>
            </w:r>
          </w:p>
        </w:tc>
        <w:tc>
          <w:tcPr>
            <w:tcW w:w="6541" w:type="dxa"/>
            <w:vAlign w:val="center"/>
          </w:tcPr>
          <w:p w14:paraId="1EF9B416" w14:textId="76029DFA" w:rsidR="005C01FF" w:rsidRPr="00D96F10" w:rsidRDefault="005C01F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</w:rPr>
              <w:t xml:space="preserve">Szkody i koszty wynikające z Aktów Wandalizmu na Etapie Utrzymania zostaną według wyboru Podmiotu Publicznego zlikwidowane i poniesione przez Podmiot Publiczny lub zlikwidowane przez Partnera Prywatnego i poniesione przez Podmiot Publiczny. </w:t>
            </w:r>
          </w:p>
        </w:tc>
      </w:tr>
    </w:tbl>
    <w:p w14:paraId="23A5D047" w14:textId="77777777" w:rsidR="00D96F10" w:rsidRDefault="00D96F10" w:rsidP="00F838A6">
      <w:pPr>
        <w:spacing w:after="120" w:line="276" w:lineRule="auto"/>
        <w:outlineLvl w:val="1"/>
        <w:rPr>
          <w:rFonts w:asciiTheme="minorHAnsi" w:hAnsiTheme="minorHAnsi" w:cstheme="minorHAnsi"/>
          <w:b/>
          <w:bCs/>
          <w:lang w:eastAsia="ar-SA"/>
        </w:rPr>
      </w:pPr>
      <w:bookmarkStart w:id="28" w:name="mip30431965"/>
      <w:bookmarkStart w:id="29" w:name="mip30431966"/>
      <w:bookmarkStart w:id="30" w:name="_Toc501528672"/>
      <w:bookmarkEnd w:id="28"/>
      <w:bookmarkEnd w:id="29"/>
    </w:p>
    <w:p w14:paraId="20DF4939" w14:textId="77777777" w:rsidR="0030779F" w:rsidRPr="00D96F10" w:rsidRDefault="00436B55" w:rsidP="00F838A6">
      <w:pPr>
        <w:spacing w:after="120" w:line="276" w:lineRule="auto"/>
        <w:outlineLvl w:val="1"/>
        <w:rPr>
          <w:rFonts w:asciiTheme="minorHAnsi" w:hAnsiTheme="minorHAnsi" w:cstheme="minorHAnsi"/>
          <w:spacing w:val="4"/>
        </w:rPr>
      </w:pPr>
      <w:r w:rsidRPr="00D96F10">
        <w:rPr>
          <w:rFonts w:asciiTheme="minorHAnsi" w:hAnsiTheme="minorHAnsi" w:cstheme="minorHAnsi"/>
          <w:b/>
          <w:bCs/>
          <w:lang w:eastAsia="ar-SA"/>
        </w:rPr>
        <w:t xml:space="preserve">1.4. </w:t>
      </w:r>
      <w:r w:rsidR="0030779F" w:rsidRPr="00D96F10">
        <w:rPr>
          <w:rFonts w:asciiTheme="minorHAnsi" w:hAnsiTheme="minorHAnsi" w:cstheme="minorHAnsi"/>
          <w:b/>
          <w:bCs/>
          <w:lang w:eastAsia="ar-SA"/>
        </w:rPr>
        <w:t>Ryzyka dostępności i popytu ponoszone przez Podmiot Publiczny</w:t>
      </w:r>
      <w:bookmarkEnd w:id="3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71"/>
        <w:gridCol w:w="6488"/>
      </w:tblGrid>
      <w:tr w:rsidR="00D96F10" w:rsidRPr="00D96F10" w14:paraId="3C08E7A6" w14:textId="77777777" w:rsidTr="00436B55">
        <w:tc>
          <w:tcPr>
            <w:tcW w:w="10206" w:type="dxa"/>
            <w:gridSpan w:val="3"/>
            <w:vAlign w:val="center"/>
          </w:tcPr>
          <w:p w14:paraId="3108DCBC" w14:textId="77777777" w:rsidR="0030779F" w:rsidRPr="00D96F10" w:rsidRDefault="00AF6DF2" w:rsidP="00F838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</w:rPr>
              <w:t>Ryzyka dostępności i popytu ponoszone przez Podmiot Publiczny</w:t>
            </w:r>
          </w:p>
        </w:tc>
      </w:tr>
      <w:tr w:rsidR="00D96F10" w:rsidRPr="00D96F10" w14:paraId="3AF84A9D" w14:textId="77777777" w:rsidTr="00436B55">
        <w:tc>
          <w:tcPr>
            <w:tcW w:w="747" w:type="dxa"/>
            <w:vAlign w:val="center"/>
          </w:tcPr>
          <w:p w14:paraId="3CAB8C7E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  <w:spacing w:val="4"/>
              </w:rPr>
              <w:t>Pkt</w:t>
            </w:r>
          </w:p>
        </w:tc>
        <w:tc>
          <w:tcPr>
            <w:tcW w:w="2971" w:type="dxa"/>
            <w:vAlign w:val="center"/>
          </w:tcPr>
          <w:p w14:paraId="1C3998AA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</w:rPr>
              <w:t>Kategoria ryzyka</w:t>
            </w:r>
          </w:p>
        </w:tc>
        <w:tc>
          <w:tcPr>
            <w:tcW w:w="6488" w:type="dxa"/>
            <w:vAlign w:val="center"/>
          </w:tcPr>
          <w:p w14:paraId="68A271E5" w14:textId="77777777" w:rsidR="0030779F" w:rsidRPr="00D96F10" w:rsidRDefault="00AF6DF2" w:rsidP="00F838A6">
            <w:pPr>
              <w:spacing w:before="120" w:line="276" w:lineRule="auto"/>
              <w:rPr>
                <w:rFonts w:asciiTheme="minorHAnsi" w:hAnsiTheme="minorHAnsi" w:cstheme="minorHAnsi"/>
                <w:b/>
                <w:spacing w:val="4"/>
              </w:rPr>
            </w:pPr>
            <w:r w:rsidRPr="00D96F10">
              <w:rPr>
                <w:rFonts w:asciiTheme="minorHAnsi" w:hAnsiTheme="minorHAnsi" w:cstheme="minorHAnsi"/>
                <w:b/>
                <w:spacing w:val="4"/>
              </w:rPr>
              <w:t>Opis ryzyka</w:t>
            </w:r>
          </w:p>
        </w:tc>
      </w:tr>
      <w:tr w:rsidR="00D96F10" w:rsidRPr="00D96F10" w14:paraId="5455E8BD" w14:textId="77777777" w:rsidTr="00436B55">
        <w:tc>
          <w:tcPr>
            <w:tcW w:w="747" w:type="dxa"/>
            <w:vAlign w:val="center"/>
          </w:tcPr>
          <w:p w14:paraId="62533C81" w14:textId="77777777" w:rsidR="00AF6DF2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1.4.1</w:t>
            </w:r>
          </w:p>
        </w:tc>
        <w:tc>
          <w:tcPr>
            <w:tcW w:w="2971" w:type="dxa"/>
            <w:vAlign w:val="center"/>
          </w:tcPr>
          <w:p w14:paraId="2E45080A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ze zmianą stawek podatków, opłat, cen energii elektrycznej </w:t>
            </w:r>
          </w:p>
        </w:tc>
        <w:tc>
          <w:tcPr>
            <w:tcW w:w="6488" w:type="dxa"/>
            <w:vAlign w:val="center"/>
          </w:tcPr>
          <w:p w14:paraId="2952460B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Podmiot Publiczny będzie na Etapie Utrzymania płatnikiem podatków oraz opłat za</w:t>
            </w:r>
            <w:r w:rsidR="00436B55" w:rsidRPr="00D96F1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energię elektryczną przez cały okres Umowy. </w:t>
            </w:r>
          </w:p>
        </w:tc>
      </w:tr>
      <w:tr w:rsidR="00D96F10" w:rsidRPr="00D96F10" w14:paraId="640907D5" w14:textId="77777777" w:rsidTr="00436B55">
        <w:tc>
          <w:tcPr>
            <w:tcW w:w="747" w:type="dxa"/>
            <w:vAlign w:val="center"/>
          </w:tcPr>
          <w:p w14:paraId="3C22F060" w14:textId="6C21DA3E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</w:t>
            </w:r>
            <w:r w:rsidR="00163D66" w:rsidRPr="00D96F10">
              <w:rPr>
                <w:rFonts w:asciiTheme="minorHAnsi" w:hAnsiTheme="minorHAnsi" w:cstheme="minorHAnsi"/>
                <w:spacing w:val="4"/>
              </w:rPr>
              <w:t>2</w:t>
            </w:r>
            <w:r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</w:tc>
        <w:tc>
          <w:tcPr>
            <w:tcW w:w="2971" w:type="dxa"/>
            <w:vAlign w:val="center"/>
          </w:tcPr>
          <w:p w14:paraId="236C67D9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ze zmianą celów politycznych</w:t>
            </w:r>
          </w:p>
        </w:tc>
        <w:tc>
          <w:tcPr>
            <w:tcW w:w="6488" w:type="dxa"/>
            <w:vAlign w:val="center"/>
          </w:tcPr>
          <w:p w14:paraId="10D8B0F3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przypadku zmiany celów politycznych Podmiotu Publicznego skutkujących zaprzestaniem realizacji Umowy lub </w:t>
            </w:r>
            <w:r w:rsidR="00B37A90" w:rsidRPr="00D96F10">
              <w:rPr>
                <w:rFonts w:asciiTheme="minorHAnsi" w:hAnsiTheme="minorHAnsi" w:cstheme="minorHAnsi"/>
                <w:spacing w:val="4"/>
              </w:rPr>
              <w:t>odstąpieniem od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Umowy na Etapie Utrzymania, Podmiot Publiczny zobowiązany będzie do zapłaty Partnerowi Prywatnemu Wynagrodzenia na zasadach określonych w Umowie dotyczących wcześniejszego zakończenia Umowy.</w:t>
            </w:r>
          </w:p>
        </w:tc>
      </w:tr>
      <w:tr w:rsidR="00D96F10" w:rsidRPr="00D96F10" w14:paraId="153EBA1E" w14:textId="77777777" w:rsidTr="00436B55">
        <w:tc>
          <w:tcPr>
            <w:tcW w:w="747" w:type="dxa"/>
            <w:vAlign w:val="center"/>
          </w:tcPr>
          <w:p w14:paraId="497E6100" w14:textId="471AD2EA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</w:t>
            </w:r>
            <w:r w:rsidR="00163D66" w:rsidRPr="00D96F10">
              <w:rPr>
                <w:rFonts w:asciiTheme="minorHAnsi" w:hAnsiTheme="minorHAnsi" w:cstheme="minorHAnsi"/>
                <w:spacing w:val="4"/>
              </w:rPr>
              <w:t>3</w:t>
            </w:r>
            <w:r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</w:tc>
        <w:tc>
          <w:tcPr>
            <w:tcW w:w="2971" w:type="dxa"/>
            <w:vAlign w:val="center"/>
          </w:tcPr>
          <w:p w14:paraId="105C290D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 </w:t>
            </w:r>
            <w:r w:rsidR="00882101" w:rsidRPr="00D96F10">
              <w:rPr>
                <w:rFonts w:asciiTheme="minorHAnsi" w:hAnsiTheme="minorHAnsi" w:cstheme="minorHAnsi"/>
              </w:rPr>
              <w:t>niewłaściwym u</w:t>
            </w:r>
            <w:r w:rsidRPr="00D96F10">
              <w:rPr>
                <w:rFonts w:asciiTheme="minorHAnsi" w:hAnsiTheme="minorHAnsi" w:cstheme="minorHAnsi"/>
              </w:rPr>
              <w:t>żytkowaniem Obiektów</w:t>
            </w:r>
          </w:p>
        </w:tc>
        <w:tc>
          <w:tcPr>
            <w:tcW w:w="6488" w:type="dxa"/>
            <w:vAlign w:val="center"/>
          </w:tcPr>
          <w:p w14:paraId="3A9F885A" w14:textId="77777777" w:rsidR="0030779F" w:rsidRPr="00D96F10" w:rsidRDefault="00AF6DF2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Szk</w:t>
            </w:r>
            <w:r w:rsidR="00882101" w:rsidRPr="00D96F10">
              <w:rPr>
                <w:rFonts w:asciiTheme="minorHAnsi" w:hAnsiTheme="minorHAnsi" w:cstheme="minorHAnsi"/>
                <w:spacing w:val="4"/>
              </w:rPr>
              <w:t>ody i koszty wynikające z niewłaściwego u</w:t>
            </w:r>
            <w:r w:rsidRPr="00D96F10">
              <w:rPr>
                <w:rFonts w:asciiTheme="minorHAnsi" w:hAnsiTheme="minorHAnsi" w:cstheme="minorHAnsi"/>
                <w:spacing w:val="4"/>
              </w:rPr>
              <w:t>żytkowania Obiektów</w:t>
            </w:r>
            <w:r w:rsidR="00B37A90" w:rsidRPr="00D96F10">
              <w:rPr>
                <w:rFonts w:asciiTheme="minorHAnsi" w:hAnsiTheme="minorHAnsi" w:cstheme="minorHAnsi"/>
                <w:spacing w:val="4"/>
              </w:rPr>
              <w:t xml:space="preserve"> przez Podmiot Publiczny lub osoby trzecie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na Etapie Utrzymania zostaną według wyboru Podmiotu Publicznego zlikwidowane i poniesione przez Podmiot Publiczny lub zlikwidowane przez Partnera Prywatnego i poniesione przez Podmiot Publiczny </w:t>
            </w:r>
          </w:p>
        </w:tc>
      </w:tr>
      <w:tr w:rsidR="00D96F10" w:rsidRPr="00D96F10" w14:paraId="0527AA84" w14:textId="77777777" w:rsidTr="00436B55">
        <w:tc>
          <w:tcPr>
            <w:tcW w:w="747" w:type="dxa"/>
            <w:vAlign w:val="center"/>
          </w:tcPr>
          <w:p w14:paraId="2276C713" w14:textId="64EEF715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</w:t>
            </w:r>
            <w:r w:rsidR="00163D66" w:rsidRPr="00D96F10">
              <w:rPr>
                <w:rFonts w:asciiTheme="minorHAnsi" w:hAnsiTheme="minorHAnsi" w:cstheme="minorHAnsi"/>
                <w:spacing w:val="4"/>
              </w:rPr>
              <w:t>4</w:t>
            </w:r>
            <w:r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</w:tc>
        <w:tc>
          <w:tcPr>
            <w:tcW w:w="2971" w:type="dxa"/>
            <w:vAlign w:val="center"/>
          </w:tcPr>
          <w:p w14:paraId="41BFE3E4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wystąpieniem Siły Wyższej</w:t>
            </w:r>
          </w:p>
        </w:tc>
        <w:tc>
          <w:tcPr>
            <w:tcW w:w="6488" w:type="dxa"/>
            <w:vAlign w:val="center"/>
          </w:tcPr>
          <w:p w14:paraId="7996804F" w14:textId="77777777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Siła wyższa rozumiana jest jako zdarzenie nagłe i nieprzewidywalne, którego skutkom Partner Prywatny nie mógł się przeciwstawić bądź którego skutkom przeciwstawienie się przez Partnera Prywatnego wiązałoby się z poniesieniem kosztów niewspółmiernych do kosztów ponoszonych w normalnym toku realizacji Przedsięwzięcia.</w:t>
            </w:r>
          </w:p>
          <w:p w14:paraId="1DC558C7" w14:textId="429F04E4" w:rsidR="004A3DE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Ziszczenie się zdarzeń stanowiących Siłę Wyższą mającej wpływ na realizację Przedsięwzięcia na Etapie Utrzymania oraz powodującej </w:t>
            </w:r>
            <w:r w:rsidR="00F21687" w:rsidRPr="00D96F10">
              <w:rPr>
                <w:rFonts w:asciiTheme="minorHAnsi" w:hAnsiTheme="minorHAnsi" w:cstheme="minorHAnsi"/>
              </w:rPr>
              <w:t xml:space="preserve">w </w:t>
            </w:r>
            <w:r w:rsidRPr="00D96F10">
              <w:rPr>
                <w:rFonts w:asciiTheme="minorHAnsi" w:hAnsiTheme="minorHAnsi" w:cstheme="minorHAnsi"/>
              </w:rPr>
              <w:lastRenderedPageBreak/>
              <w:t>udokumentowany sposób bezpośredni wzrost kosztów jego realizacji przez Partnera Prywatnego stanowi Zdarzenie Nieprzewidywalne.</w:t>
            </w:r>
            <w:r w:rsidR="00163D66" w:rsidRPr="00D96F10">
              <w:rPr>
                <w:rFonts w:asciiTheme="minorHAnsi" w:hAnsiTheme="minorHAnsi" w:cstheme="minorHAnsi"/>
              </w:rPr>
              <w:t xml:space="preserve"> </w:t>
            </w:r>
          </w:p>
          <w:p w14:paraId="36EB8A5C" w14:textId="6632AD04" w:rsidR="0030779F" w:rsidRPr="00D96F10" w:rsidRDefault="00353623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</w:rPr>
              <w:t>W takim przypadku, Partnerowi Prywatnemu przysługują uprawnienia określone w pkt 29.3. Umowy, z zastrzeżeniem, że w</w:t>
            </w:r>
            <w:r w:rsidR="00BD4803" w:rsidRPr="00D96F10">
              <w:rPr>
                <w:rFonts w:asciiTheme="minorHAnsi" w:hAnsiTheme="minorHAnsi" w:cstheme="minorHAnsi"/>
              </w:rPr>
              <w:t xml:space="preserve"> przypadku</w:t>
            </w:r>
            <w:r w:rsidRPr="00D96F10">
              <w:rPr>
                <w:rFonts w:asciiTheme="minorHAnsi" w:hAnsiTheme="minorHAnsi" w:cstheme="minorHAnsi"/>
              </w:rPr>
              <w:t xml:space="preserve"> żądania zwrotu Dodatkowych Kosztów</w:t>
            </w:r>
            <w:r w:rsidR="001B01EE" w:rsidRPr="00D96F10">
              <w:rPr>
                <w:rFonts w:asciiTheme="minorHAnsi" w:hAnsiTheme="minorHAnsi" w:cstheme="minorHAnsi"/>
              </w:rPr>
              <w:t xml:space="preserve"> lub zmiany Wynagrodzenia</w:t>
            </w:r>
            <w:r w:rsidR="00BD4803" w:rsidRPr="00D96F10">
              <w:rPr>
                <w:rFonts w:asciiTheme="minorHAnsi" w:hAnsiTheme="minorHAnsi" w:cstheme="minorHAnsi"/>
              </w:rPr>
              <w:t xml:space="preserve"> </w:t>
            </w:r>
            <w:r w:rsidR="001B01EE" w:rsidRPr="00D96F10">
              <w:rPr>
                <w:rFonts w:asciiTheme="minorHAnsi" w:hAnsiTheme="minorHAnsi" w:cstheme="minorHAnsi"/>
              </w:rPr>
              <w:t>wynikających z</w:t>
            </w:r>
            <w:r w:rsidR="00BD4803" w:rsidRPr="00D96F10">
              <w:rPr>
                <w:rFonts w:asciiTheme="minorHAnsi" w:hAnsiTheme="minorHAnsi" w:cstheme="minorHAnsi"/>
              </w:rPr>
              <w:t xml:space="preserve"> wystąpieniem Siły Wyższej, Partner Prywatny</w:t>
            </w:r>
            <w:r w:rsidR="001B01EE" w:rsidRPr="00D96F10">
              <w:rPr>
                <w:rFonts w:asciiTheme="minorHAnsi" w:hAnsiTheme="minorHAnsi" w:cstheme="minorHAnsi"/>
              </w:rPr>
              <w:t xml:space="preserve"> </w:t>
            </w:r>
            <w:r w:rsidR="00BD4803" w:rsidRPr="00D96F10">
              <w:rPr>
                <w:rFonts w:asciiTheme="minorHAnsi" w:hAnsiTheme="minorHAnsi" w:cstheme="minorHAnsi"/>
              </w:rPr>
              <w:t xml:space="preserve"> może </w:t>
            </w:r>
            <w:r w:rsidR="001B01EE" w:rsidRPr="00D96F10">
              <w:rPr>
                <w:rFonts w:asciiTheme="minorHAnsi" w:hAnsiTheme="minorHAnsi" w:cstheme="minorHAnsi"/>
              </w:rPr>
              <w:t xml:space="preserve">odpowiednio </w:t>
            </w:r>
            <w:r w:rsidR="00BD4803" w:rsidRPr="00D96F10">
              <w:rPr>
                <w:rFonts w:asciiTheme="minorHAnsi" w:hAnsiTheme="minorHAnsi" w:cstheme="minorHAnsi"/>
              </w:rPr>
              <w:t>żądać zwrotu maksymalnie 50% udokumentowanych Dodatkowych Kosztów</w:t>
            </w:r>
            <w:r w:rsidR="001B01EE" w:rsidRPr="00D96F10">
              <w:rPr>
                <w:rFonts w:asciiTheme="minorHAnsi" w:hAnsiTheme="minorHAnsi" w:cstheme="minorHAnsi"/>
              </w:rPr>
              <w:t xml:space="preserve"> lub zmiany Wynagrodzenia nieprzekraczającej 50% udokumentowanych Dodatkowych Kosztów. </w:t>
            </w:r>
          </w:p>
        </w:tc>
      </w:tr>
      <w:tr w:rsidR="00D96F10" w:rsidRPr="00D96F10" w14:paraId="670F1F1B" w14:textId="77777777" w:rsidTr="002275D5">
        <w:tc>
          <w:tcPr>
            <w:tcW w:w="10206" w:type="dxa"/>
            <w:gridSpan w:val="3"/>
            <w:vAlign w:val="center"/>
          </w:tcPr>
          <w:p w14:paraId="71B926B7" w14:textId="4A692286" w:rsidR="00163D66" w:rsidRPr="00D96F10" w:rsidRDefault="00163D66" w:rsidP="00F838A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  <w:b/>
              </w:rPr>
              <w:lastRenderedPageBreak/>
              <w:t>Ryzyka dostępności ponoszone przez Podmiot Publiczny, które Partner Prywatny może przyjąć na siebie w ramach kryterium oceny ofert, zgodnie z oświadczeniem złożonym w Ofercie</w:t>
            </w:r>
          </w:p>
        </w:tc>
      </w:tr>
      <w:tr w:rsidR="00D96F10" w:rsidRPr="00D96F10" w14:paraId="29BDF8BE" w14:textId="77777777" w:rsidTr="00436B55">
        <w:tc>
          <w:tcPr>
            <w:tcW w:w="747" w:type="dxa"/>
            <w:vAlign w:val="center"/>
          </w:tcPr>
          <w:p w14:paraId="5DC53B2E" w14:textId="48F66EE6" w:rsidR="0030779F" w:rsidRPr="00D96F10" w:rsidRDefault="00436B55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</w:t>
            </w:r>
            <w:r w:rsidR="00163D66" w:rsidRPr="00D96F10">
              <w:rPr>
                <w:rFonts w:asciiTheme="minorHAnsi" w:hAnsiTheme="minorHAnsi" w:cstheme="minorHAnsi"/>
                <w:spacing w:val="4"/>
              </w:rPr>
              <w:t>5</w:t>
            </w:r>
            <w:r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</w:tc>
        <w:tc>
          <w:tcPr>
            <w:tcW w:w="2971" w:type="dxa"/>
            <w:vAlign w:val="center"/>
          </w:tcPr>
          <w:p w14:paraId="727C3A83" w14:textId="77777777" w:rsidR="0030779F" w:rsidRPr="00D96F10" w:rsidRDefault="00AF6DF2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 xml:space="preserve">Ryzyka związane z wystąpieniem </w:t>
            </w:r>
            <w:r w:rsidR="00B80BE1" w:rsidRPr="00D96F10">
              <w:rPr>
                <w:rFonts w:asciiTheme="minorHAnsi" w:hAnsiTheme="minorHAnsi" w:cstheme="minorHAnsi"/>
              </w:rPr>
              <w:t>Zmian</w:t>
            </w:r>
            <w:r w:rsidRPr="00D96F10">
              <w:rPr>
                <w:rFonts w:asciiTheme="minorHAnsi" w:hAnsiTheme="minorHAnsi" w:cstheme="minorHAnsi"/>
              </w:rPr>
              <w:t xml:space="preserve"> Prawa mających wpływ na realizację Etapu Utrzymania z wyłączeniem przepisów obniżających normy technologiczne</w:t>
            </w:r>
          </w:p>
        </w:tc>
        <w:tc>
          <w:tcPr>
            <w:tcW w:w="6488" w:type="dxa"/>
            <w:vAlign w:val="center"/>
          </w:tcPr>
          <w:p w14:paraId="3E5E38EF" w14:textId="77777777" w:rsidR="0030779F" w:rsidRPr="00D96F10" w:rsidRDefault="004A3DEF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W wypadku wystąpienia </w:t>
            </w:r>
            <w:r w:rsidR="00B80BE1" w:rsidRPr="00D96F10">
              <w:rPr>
                <w:rFonts w:asciiTheme="minorHAnsi" w:hAnsiTheme="minorHAnsi" w:cstheme="minorHAnsi"/>
                <w:spacing w:val="4"/>
              </w:rPr>
              <w:t>Z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mian Prawa mających wpływ na realizację Przedsięwzięcia na Etapie Utrzymania (z wyłączeniem przepisów obniżających normy technologiczne) </w:t>
            </w:r>
            <w:r w:rsidR="00B3158E" w:rsidRPr="00D96F10">
              <w:rPr>
                <w:rFonts w:asciiTheme="minorHAnsi" w:hAnsiTheme="minorHAnsi" w:cstheme="minorHAnsi"/>
                <w:spacing w:val="4"/>
              </w:rPr>
              <w:t>Strony podejmą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procedurę określoną w pkt 29.2. Umowy. </w:t>
            </w:r>
          </w:p>
          <w:p w14:paraId="22DD9586" w14:textId="0A4A6407" w:rsidR="00163D66" w:rsidRPr="00D96F10" w:rsidRDefault="00163D66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</w:rPr>
              <w:t>W przypadku przyjęcia ryzyka na siebie przez Partnera Prywatnego, prawo podjęcia procedury, o której mowa w pkt 29. 2 Umowy przysługuje Podmiotowi Publicznemu.</w:t>
            </w:r>
          </w:p>
        </w:tc>
      </w:tr>
      <w:tr w:rsidR="00D96F10" w:rsidRPr="00D96F10" w14:paraId="78E09CF9" w14:textId="77777777" w:rsidTr="00436B55">
        <w:tc>
          <w:tcPr>
            <w:tcW w:w="747" w:type="dxa"/>
            <w:vAlign w:val="center"/>
          </w:tcPr>
          <w:p w14:paraId="77FC5A4D" w14:textId="4AF0CBC7" w:rsidR="00163D66" w:rsidRPr="00D96F10" w:rsidRDefault="00163D66" w:rsidP="00F838A6">
            <w:pPr>
              <w:spacing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>1.4.6.</w:t>
            </w:r>
          </w:p>
        </w:tc>
        <w:tc>
          <w:tcPr>
            <w:tcW w:w="2971" w:type="dxa"/>
            <w:vAlign w:val="center"/>
          </w:tcPr>
          <w:p w14:paraId="27212E8A" w14:textId="7B72C4AB" w:rsidR="00163D66" w:rsidRPr="00D96F10" w:rsidRDefault="00163D66" w:rsidP="00F838A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6F10">
              <w:rPr>
                <w:rFonts w:asciiTheme="minorHAnsi" w:hAnsiTheme="minorHAnsi" w:cstheme="minorHAnsi"/>
              </w:rPr>
              <w:t>Ryzyka związane z wystąpieniem zmian technologicznych</w:t>
            </w:r>
          </w:p>
        </w:tc>
        <w:tc>
          <w:tcPr>
            <w:tcW w:w="6488" w:type="dxa"/>
            <w:vAlign w:val="center"/>
          </w:tcPr>
          <w:p w14:paraId="62EC0987" w14:textId="77777777" w:rsidR="00163D66" w:rsidRPr="00D96F10" w:rsidRDefault="00163D66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  <w:spacing w:val="4"/>
              </w:rPr>
              <w:t xml:space="preserve">Konieczność dokonania zmian technologicznych niewynikających ze zmiany Prawa z przyczyn leżących po stronie Podmiotu Publicznego stanowi podstawę do dokonania zmiany Umowy </w:t>
            </w:r>
            <w:r w:rsidRPr="00D96F10">
              <w:rPr>
                <w:rFonts w:asciiTheme="minorHAnsi" w:hAnsiTheme="minorHAnsi" w:cstheme="minorHAnsi"/>
              </w:rPr>
              <w:t>w zakresie Wynagrodzenia, jeżeli zmiany te spowodują udokumentowany wzrost Kosztów po stronie Partnera Prywatnego</w:t>
            </w:r>
            <w:r w:rsidRPr="00D96F10">
              <w:rPr>
                <w:rFonts w:asciiTheme="minorHAnsi" w:hAnsiTheme="minorHAnsi" w:cstheme="minorHAnsi"/>
                <w:spacing w:val="4"/>
              </w:rPr>
              <w:t>.</w:t>
            </w:r>
          </w:p>
          <w:p w14:paraId="3F0333A2" w14:textId="7911C487" w:rsidR="00163D66" w:rsidRPr="00D96F10" w:rsidRDefault="00163D66" w:rsidP="00F838A6">
            <w:pPr>
              <w:spacing w:before="120" w:after="120" w:line="276" w:lineRule="auto"/>
              <w:rPr>
                <w:rFonts w:asciiTheme="minorHAnsi" w:hAnsiTheme="minorHAnsi" w:cstheme="minorHAnsi"/>
                <w:spacing w:val="4"/>
              </w:rPr>
            </w:pPr>
            <w:r w:rsidRPr="00D96F10">
              <w:rPr>
                <w:rFonts w:asciiTheme="minorHAnsi" w:hAnsiTheme="minorHAnsi" w:cstheme="minorHAnsi"/>
              </w:rPr>
              <w:t>W przypadku przyjęcia ryzyka na siebie przez Partnera Prywatnego, zmiana</w:t>
            </w:r>
            <w:r w:rsidRPr="00D96F10">
              <w:rPr>
                <w:rFonts w:asciiTheme="minorHAnsi" w:hAnsiTheme="minorHAnsi" w:cstheme="minorHAnsi"/>
                <w:spacing w:val="4"/>
              </w:rPr>
              <w:t xml:space="preserve"> Umowy </w:t>
            </w:r>
            <w:r w:rsidRPr="00D96F10">
              <w:rPr>
                <w:rFonts w:asciiTheme="minorHAnsi" w:hAnsiTheme="minorHAnsi" w:cstheme="minorHAnsi"/>
              </w:rPr>
              <w:t xml:space="preserve">w zakresie Wynagrodzenia, jeżeli zmiany te spowodują udokumentowany wzrost Kosztów po stronie Partnera Prywatnego, jest niemożliwa, chyba, że Podmiot Publiczny wyrazi na nią zgodę. </w:t>
            </w:r>
          </w:p>
        </w:tc>
      </w:tr>
    </w:tbl>
    <w:p w14:paraId="5BF2F577" w14:textId="77777777" w:rsidR="00AF6DF2" w:rsidRPr="00D96F10" w:rsidRDefault="00AF6DF2" w:rsidP="00F838A6">
      <w:pPr>
        <w:pStyle w:val="Akapitzlist"/>
        <w:ind w:left="792"/>
        <w:jc w:val="both"/>
        <w:rPr>
          <w:rFonts w:asciiTheme="minorHAnsi" w:hAnsiTheme="minorHAnsi" w:cstheme="minorHAnsi"/>
          <w:spacing w:val="4"/>
        </w:rPr>
      </w:pPr>
    </w:p>
    <w:p w14:paraId="12BFBD8F" w14:textId="598A5AD3" w:rsidR="00CE001C" w:rsidRPr="00D96F10" w:rsidRDefault="00CE001C" w:rsidP="00F838A6">
      <w:pPr>
        <w:pStyle w:val="Akapitzlist"/>
        <w:ind w:left="764"/>
        <w:jc w:val="both"/>
        <w:rPr>
          <w:rFonts w:asciiTheme="minorHAnsi" w:hAnsiTheme="minorHAnsi" w:cstheme="minorHAnsi"/>
        </w:rPr>
      </w:pPr>
    </w:p>
    <w:p w14:paraId="2BCB4877" w14:textId="30A7C1B7" w:rsidR="00B06B21" w:rsidRPr="00D96F10" w:rsidRDefault="00B06B21" w:rsidP="00F838A6">
      <w:pPr>
        <w:pStyle w:val="Akapitzlist"/>
        <w:ind w:left="764"/>
        <w:jc w:val="both"/>
        <w:rPr>
          <w:rFonts w:asciiTheme="minorHAnsi" w:hAnsiTheme="minorHAnsi" w:cstheme="minorHAnsi"/>
        </w:rPr>
      </w:pPr>
    </w:p>
    <w:p w14:paraId="2EBF6412" w14:textId="77777777" w:rsidR="00B06B21" w:rsidRPr="00D96F10" w:rsidRDefault="00B06B21" w:rsidP="00F838A6">
      <w:pPr>
        <w:pStyle w:val="Akapitzlist"/>
        <w:ind w:left="0"/>
        <w:jc w:val="both"/>
        <w:rPr>
          <w:rFonts w:asciiTheme="minorHAnsi" w:hAnsiTheme="minorHAnsi" w:cstheme="minorHAnsi"/>
        </w:rPr>
      </w:pPr>
    </w:p>
    <w:sectPr w:rsidR="00B06B21" w:rsidRPr="00D96F10" w:rsidSect="003C3C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38A8" w14:textId="77777777" w:rsidR="00F405B8" w:rsidRDefault="00F405B8" w:rsidP="007E59BD">
      <w:pPr>
        <w:spacing w:line="240" w:lineRule="auto"/>
      </w:pPr>
      <w:r>
        <w:separator/>
      </w:r>
    </w:p>
  </w:endnote>
  <w:endnote w:type="continuationSeparator" w:id="0">
    <w:p w14:paraId="5C5DA408" w14:textId="77777777" w:rsidR="00F405B8" w:rsidRDefault="00F405B8" w:rsidP="007E59BD">
      <w:pPr>
        <w:spacing w:line="240" w:lineRule="auto"/>
      </w:pPr>
      <w:r>
        <w:continuationSeparator/>
      </w:r>
    </w:p>
  </w:endnote>
  <w:endnote w:type="continuationNotice" w:id="1">
    <w:p w14:paraId="0BB08E04" w14:textId="77777777" w:rsidR="00F405B8" w:rsidRDefault="00F40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52" w14:textId="77777777" w:rsidR="005D0746" w:rsidRPr="0055322F" w:rsidRDefault="00AF6DF2">
    <w:pPr>
      <w:pStyle w:val="Stopka"/>
      <w:jc w:val="right"/>
      <w:rPr>
        <w:rFonts w:ascii="Times New Roman" w:hAnsi="Times New Roman"/>
      </w:rPr>
    </w:pPr>
    <w:r w:rsidRPr="0055322F">
      <w:rPr>
        <w:rFonts w:ascii="Times New Roman" w:hAnsi="Times New Roman"/>
      </w:rPr>
      <w:fldChar w:fldCharType="begin"/>
    </w:r>
    <w:r w:rsidR="005D0746" w:rsidRPr="0055322F">
      <w:rPr>
        <w:rFonts w:ascii="Times New Roman" w:hAnsi="Times New Roman"/>
      </w:rPr>
      <w:instrText xml:space="preserve"> PAGE   \* MERGEFORMAT </w:instrText>
    </w:r>
    <w:r w:rsidRPr="0055322F">
      <w:rPr>
        <w:rFonts w:ascii="Times New Roman" w:hAnsi="Times New Roman"/>
      </w:rPr>
      <w:fldChar w:fldCharType="separate"/>
    </w:r>
    <w:r w:rsidR="005539FE">
      <w:rPr>
        <w:rFonts w:ascii="Times New Roman" w:hAnsi="Times New Roman"/>
        <w:noProof/>
      </w:rPr>
      <w:t>1</w:t>
    </w:r>
    <w:r w:rsidRPr="0055322F">
      <w:rPr>
        <w:rFonts w:ascii="Times New Roman" w:hAnsi="Times New Roman"/>
      </w:rPr>
      <w:fldChar w:fldCharType="end"/>
    </w:r>
  </w:p>
  <w:p w14:paraId="1229C9BC" w14:textId="77777777" w:rsidR="005D0746" w:rsidRDefault="005D0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A922" w14:textId="77777777" w:rsidR="00F405B8" w:rsidRDefault="00F405B8" w:rsidP="007E59BD">
      <w:pPr>
        <w:spacing w:line="240" w:lineRule="auto"/>
      </w:pPr>
      <w:r>
        <w:separator/>
      </w:r>
    </w:p>
  </w:footnote>
  <w:footnote w:type="continuationSeparator" w:id="0">
    <w:p w14:paraId="7B2108CF" w14:textId="77777777" w:rsidR="00F405B8" w:rsidRDefault="00F405B8" w:rsidP="007E59BD">
      <w:pPr>
        <w:spacing w:line="240" w:lineRule="auto"/>
      </w:pPr>
      <w:r>
        <w:continuationSeparator/>
      </w:r>
    </w:p>
  </w:footnote>
  <w:footnote w:type="continuationNotice" w:id="1">
    <w:p w14:paraId="0BAF2E95" w14:textId="77777777" w:rsidR="00F405B8" w:rsidRDefault="00F405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B574" w14:textId="77777777" w:rsidR="005D0746" w:rsidRDefault="005D0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9.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eastAsia="en-US"/>
      </w:rPr>
    </w:lvl>
  </w:abstractNum>
  <w:abstractNum w:abstractNumId="1" w15:restartNumberingAfterBreak="0">
    <w:nsid w:val="002B2145"/>
    <w:multiLevelType w:val="hybridMultilevel"/>
    <w:tmpl w:val="DD8AAC94"/>
    <w:lvl w:ilvl="0" w:tplc="BBC2966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FE3BF5"/>
    <w:multiLevelType w:val="multilevel"/>
    <w:tmpl w:val="17325D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1745FC7"/>
    <w:multiLevelType w:val="hybridMultilevel"/>
    <w:tmpl w:val="4B8E15B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193182"/>
    <w:multiLevelType w:val="multilevel"/>
    <w:tmpl w:val="215AF1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27F03EF"/>
    <w:multiLevelType w:val="multilevel"/>
    <w:tmpl w:val="84C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30E57C8"/>
    <w:multiLevelType w:val="multilevel"/>
    <w:tmpl w:val="1F5462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485870"/>
    <w:multiLevelType w:val="hybridMultilevel"/>
    <w:tmpl w:val="F034A44A"/>
    <w:lvl w:ilvl="0" w:tplc="241E14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87065A"/>
    <w:multiLevelType w:val="hybridMultilevel"/>
    <w:tmpl w:val="1206F784"/>
    <w:lvl w:ilvl="0" w:tplc="D828146A">
      <w:start w:val="1"/>
      <w:numFmt w:val="bullet"/>
      <w:lvlText w:val=""/>
      <w:lvlJc w:val="left"/>
      <w:pPr>
        <w:ind w:left="1494" w:hanging="360"/>
      </w:pPr>
      <w:rPr>
        <w:rFonts w:ascii="MS Mincho" w:hAnsi="MS Mincho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Tahoma" w:hAnsi="Tahoma" w:cs="Tahoma" w:hint="default"/>
      </w:rPr>
    </w:lvl>
    <w:lvl w:ilvl="2" w:tplc="04150005" w:tentative="1">
      <w:start w:val="1"/>
      <w:numFmt w:val="bullet"/>
      <w:pStyle w:val="CMSHeadL3"/>
      <w:lvlText w:val=""/>
      <w:lvlJc w:val="left"/>
      <w:pPr>
        <w:ind w:left="2934" w:hanging="360"/>
      </w:pPr>
      <w:rPr>
        <w:rFonts w:ascii="Verdana" w:hAnsi="Verdana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MS Mincho" w:hAnsi="MS Mincho" w:hint="default"/>
      </w:rPr>
    </w:lvl>
    <w:lvl w:ilvl="4" w:tplc="04150003">
      <w:start w:val="1"/>
      <w:numFmt w:val="bullet"/>
      <w:pStyle w:val="CMSHeadL5"/>
      <w:lvlText w:val="o"/>
      <w:lvlJc w:val="left"/>
      <w:pPr>
        <w:ind w:left="4374" w:hanging="360"/>
      </w:pPr>
      <w:rPr>
        <w:rFonts w:ascii="Tahoma" w:hAnsi="Tahoma" w:cs="Tahoma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Verdana" w:hAnsi="Verdana" w:hint="default"/>
      </w:rPr>
    </w:lvl>
    <w:lvl w:ilvl="6" w:tplc="04150001" w:tentative="1">
      <w:start w:val="1"/>
      <w:numFmt w:val="bullet"/>
      <w:pStyle w:val="CMSHeadL7"/>
      <w:lvlText w:val=""/>
      <w:lvlJc w:val="left"/>
      <w:pPr>
        <w:ind w:left="5814" w:hanging="360"/>
      </w:pPr>
      <w:rPr>
        <w:rFonts w:ascii="MS Mincho" w:hAnsi="MS Mincho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Tahoma" w:hAnsi="Tahoma" w:cs="Tahoma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Verdana" w:hAnsi="Verdana" w:hint="default"/>
      </w:rPr>
    </w:lvl>
  </w:abstractNum>
  <w:abstractNum w:abstractNumId="9" w15:restartNumberingAfterBreak="0">
    <w:nsid w:val="079932B2"/>
    <w:multiLevelType w:val="hybridMultilevel"/>
    <w:tmpl w:val="18A4B58A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00B98"/>
    <w:multiLevelType w:val="hybridMultilevel"/>
    <w:tmpl w:val="DECAAB1C"/>
    <w:lvl w:ilvl="0" w:tplc="C270D0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63ED9"/>
    <w:multiLevelType w:val="multilevel"/>
    <w:tmpl w:val="4192D6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3F6EF4"/>
    <w:multiLevelType w:val="hybridMultilevel"/>
    <w:tmpl w:val="E280CE7C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B17583"/>
    <w:multiLevelType w:val="multilevel"/>
    <w:tmpl w:val="5BEA8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0F0200C6"/>
    <w:multiLevelType w:val="hybridMultilevel"/>
    <w:tmpl w:val="18C22488"/>
    <w:lvl w:ilvl="0" w:tplc="A6B849FE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B2FE0"/>
    <w:multiLevelType w:val="hybridMultilevel"/>
    <w:tmpl w:val="D90E7E14"/>
    <w:lvl w:ilvl="0" w:tplc="B34E31AC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3A938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D57553"/>
    <w:multiLevelType w:val="hybridMultilevel"/>
    <w:tmpl w:val="6818F53C"/>
    <w:lvl w:ilvl="0" w:tplc="93F212F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0DA1CC9"/>
    <w:multiLevelType w:val="hybridMultilevel"/>
    <w:tmpl w:val="10A013E0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FE1D4A"/>
    <w:multiLevelType w:val="hybridMultilevel"/>
    <w:tmpl w:val="CA2696D0"/>
    <w:lvl w:ilvl="0" w:tplc="3B9A1364">
      <w:start w:val="1"/>
      <w:numFmt w:val="decimal"/>
      <w:lvlText w:val="10.3.%1."/>
      <w:lvlJc w:val="left"/>
      <w:pPr>
        <w:ind w:left="3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556C8E0">
      <w:start w:val="1"/>
      <w:numFmt w:val="decimal"/>
      <w:lvlText w:val="10.3.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82F50"/>
    <w:multiLevelType w:val="hybridMultilevel"/>
    <w:tmpl w:val="B824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5A4C86"/>
    <w:multiLevelType w:val="hybridMultilevel"/>
    <w:tmpl w:val="7DF21814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C96CF0"/>
    <w:multiLevelType w:val="multilevel"/>
    <w:tmpl w:val="C55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2D471F"/>
    <w:multiLevelType w:val="multilevel"/>
    <w:tmpl w:val="5B10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2B52B20"/>
    <w:multiLevelType w:val="hybridMultilevel"/>
    <w:tmpl w:val="397A7F36"/>
    <w:lvl w:ilvl="0" w:tplc="1996E324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1" w:tplc="9FE6D71A" w:tentative="1">
      <w:start w:val="1"/>
      <w:numFmt w:val="lowerLetter"/>
      <w:lvlText w:val="%2."/>
      <w:lvlJc w:val="left"/>
      <w:pPr>
        <w:ind w:left="1440" w:hanging="360"/>
      </w:pPr>
    </w:lvl>
    <w:lvl w:ilvl="2" w:tplc="A9E2DC4A" w:tentative="1">
      <w:start w:val="1"/>
      <w:numFmt w:val="lowerRoman"/>
      <w:lvlText w:val="%3."/>
      <w:lvlJc w:val="right"/>
      <w:pPr>
        <w:ind w:left="2160" w:hanging="180"/>
      </w:pPr>
    </w:lvl>
    <w:lvl w:ilvl="3" w:tplc="A39C3A60" w:tentative="1">
      <w:start w:val="1"/>
      <w:numFmt w:val="decimal"/>
      <w:lvlText w:val="%4."/>
      <w:lvlJc w:val="left"/>
      <w:pPr>
        <w:ind w:left="2880" w:hanging="360"/>
      </w:pPr>
    </w:lvl>
    <w:lvl w:ilvl="4" w:tplc="CA8613C0" w:tentative="1">
      <w:start w:val="1"/>
      <w:numFmt w:val="lowerLetter"/>
      <w:lvlText w:val="%5."/>
      <w:lvlJc w:val="left"/>
      <w:pPr>
        <w:ind w:left="3600" w:hanging="360"/>
      </w:pPr>
    </w:lvl>
    <w:lvl w:ilvl="5" w:tplc="243ECFF6" w:tentative="1">
      <w:start w:val="1"/>
      <w:numFmt w:val="lowerRoman"/>
      <w:lvlText w:val="%6."/>
      <w:lvlJc w:val="right"/>
      <w:pPr>
        <w:ind w:left="4320" w:hanging="180"/>
      </w:pPr>
    </w:lvl>
    <w:lvl w:ilvl="6" w:tplc="BF14E268" w:tentative="1">
      <w:start w:val="1"/>
      <w:numFmt w:val="decimal"/>
      <w:lvlText w:val="%7."/>
      <w:lvlJc w:val="left"/>
      <w:pPr>
        <w:ind w:left="5040" w:hanging="360"/>
      </w:pPr>
    </w:lvl>
    <w:lvl w:ilvl="7" w:tplc="64F6C718" w:tentative="1">
      <w:start w:val="1"/>
      <w:numFmt w:val="lowerLetter"/>
      <w:lvlText w:val="%8."/>
      <w:lvlJc w:val="left"/>
      <w:pPr>
        <w:ind w:left="5760" w:hanging="360"/>
      </w:pPr>
    </w:lvl>
    <w:lvl w:ilvl="8" w:tplc="56F42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12026"/>
    <w:multiLevelType w:val="multilevel"/>
    <w:tmpl w:val="7D72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3095A97"/>
    <w:multiLevelType w:val="hybridMultilevel"/>
    <w:tmpl w:val="906E44B6"/>
    <w:lvl w:ilvl="0" w:tplc="B7269E96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6" w15:restartNumberingAfterBreak="0">
    <w:nsid w:val="23467298"/>
    <w:multiLevelType w:val="hybridMultilevel"/>
    <w:tmpl w:val="DA9AC2E6"/>
    <w:lvl w:ilvl="0" w:tplc="7D360D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D1A"/>
    <w:multiLevelType w:val="hybridMultilevel"/>
    <w:tmpl w:val="EF3EC45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7834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0A1D9C"/>
    <w:multiLevelType w:val="hybridMultilevel"/>
    <w:tmpl w:val="70AAAF0A"/>
    <w:lvl w:ilvl="0" w:tplc="5B88D69A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0" w15:restartNumberingAfterBreak="0">
    <w:nsid w:val="2A7F753D"/>
    <w:multiLevelType w:val="hybridMultilevel"/>
    <w:tmpl w:val="0172C398"/>
    <w:lvl w:ilvl="0" w:tplc="04150011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5649B3"/>
    <w:multiLevelType w:val="multilevel"/>
    <w:tmpl w:val="3C8E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B691299"/>
    <w:multiLevelType w:val="multilevel"/>
    <w:tmpl w:val="E564E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33" w15:restartNumberingAfterBreak="0">
    <w:nsid w:val="2BA81964"/>
    <w:multiLevelType w:val="hybridMultilevel"/>
    <w:tmpl w:val="18BADA48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BD65CD6"/>
    <w:multiLevelType w:val="hybridMultilevel"/>
    <w:tmpl w:val="DD8AAC94"/>
    <w:lvl w:ilvl="0" w:tplc="68560C3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C795D2E"/>
    <w:multiLevelType w:val="hybridMultilevel"/>
    <w:tmpl w:val="BFAE28D2"/>
    <w:lvl w:ilvl="0" w:tplc="04150011">
      <w:start w:val="1"/>
      <w:numFmt w:val="decimal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2DBC5370"/>
    <w:multiLevelType w:val="hybridMultilevel"/>
    <w:tmpl w:val="672A1AF6"/>
    <w:lvl w:ilvl="0" w:tplc="4F807B30">
      <w:start w:val="1"/>
      <w:numFmt w:val="decimal"/>
      <w:lvlText w:val="7.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2E093A1A"/>
    <w:multiLevelType w:val="hybridMultilevel"/>
    <w:tmpl w:val="6A3AA556"/>
    <w:lvl w:ilvl="0" w:tplc="D698418C">
      <w:start w:val="1"/>
      <w:numFmt w:val="decimal"/>
      <w:lvlText w:val="%1.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2E250698"/>
    <w:multiLevelType w:val="hybridMultilevel"/>
    <w:tmpl w:val="95C413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FBB651A"/>
    <w:multiLevelType w:val="multilevel"/>
    <w:tmpl w:val="E76254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2FC600FE"/>
    <w:multiLevelType w:val="multilevel"/>
    <w:tmpl w:val="C55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07401BA"/>
    <w:multiLevelType w:val="multilevel"/>
    <w:tmpl w:val="E7F2F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0115E8"/>
    <w:multiLevelType w:val="hybridMultilevel"/>
    <w:tmpl w:val="9D1CE3DC"/>
    <w:lvl w:ilvl="0" w:tplc="4F807B30">
      <w:start w:val="1"/>
      <w:numFmt w:val="decimal"/>
      <w:lvlText w:val="7.7.%1."/>
      <w:lvlJc w:val="left"/>
      <w:pPr>
        <w:ind w:left="1440" w:hanging="360"/>
      </w:pPr>
      <w:rPr>
        <w:rFonts w:hint="default"/>
      </w:rPr>
    </w:lvl>
    <w:lvl w:ilvl="1" w:tplc="C9429EF4">
      <w:start w:val="1"/>
      <w:numFmt w:val="decimal"/>
      <w:lvlText w:val="7.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843E08"/>
    <w:multiLevelType w:val="multilevel"/>
    <w:tmpl w:val="5A387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002B9D"/>
    <w:multiLevelType w:val="hybridMultilevel"/>
    <w:tmpl w:val="A19C66AC"/>
    <w:lvl w:ilvl="0" w:tplc="4204E2D6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1A0877"/>
    <w:multiLevelType w:val="hybridMultilevel"/>
    <w:tmpl w:val="C112845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4B957A0"/>
    <w:multiLevelType w:val="hybridMultilevel"/>
    <w:tmpl w:val="12D25CAA"/>
    <w:lvl w:ilvl="0" w:tplc="47C479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042D5A"/>
    <w:multiLevelType w:val="hybridMultilevel"/>
    <w:tmpl w:val="FE20C49E"/>
    <w:lvl w:ilvl="0" w:tplc="667C3058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8" w15:restartNumberingAfterBreak="0">
    <w:nsid w:val="39EB24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0A3BF1"/>
    <w:multiLevelType w:val="hybridMultilevel"/>
    <w:tmpl w:val="92C2ADAA"/>
    <w:lvl w:ilvl="0" w:tplc="B428D62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0F7911"/>
    <w:multiLevelType w:val="multilevel"/>
    <w:tmpl w:val="C55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B3C381B"/>
    <w:multiLevelType w:val="multilevel"/>
    <w:tmpl w:val="57AA77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6D77CB"/>
    <w:multiLevelType w:val="hybridMultilevel"/>
    <w:tmpl w:val="CA64E2B8"/>
    <w:lvl w:ilvl="0" w:tplc="7160DC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BF2606A"/>
    <w:multiLevelType w:val="hybridMultilevel"/>
    <w:tmpl w:val="55E6D4D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4A1DCA">
      <w:start w:val="1"/>
      <w:numFmt w:val="decimal"/>
      <w:lvlText w:val="%3)"/>
      <w:lvlJc w:val="left"/>
      <w:pPr>
        <w:tabs>
          <w:tab w:val="num" w:pos="1598"/>
        </w:tabs>
        <w:ind w:left="1598" w:hanging="180"/>
      </w:pPr>
      <w:rPr>
        <w:rFonts w:ascii="Verdana" w:hAnsi="Verdana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C2B0A46"/>
    <w:multiLevelType w:val="multilevel"/>
    <w:tmpl w:val="A8CE73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E143F13"/>
    <w:multiLevelType w:val="multilevel"/>
    <w:tmpl w:val="2F0C6D64"/>
    <w:lvl w:ilvl="0">
      <w:start w:val="1"/>
      <w:numFmt w:val="none"/>
      <w:suff w:val="nothing"/>
      <w:lvlText w:val=""/>
      <w:lvlJc w:val="left"/>
      <w:rPr>
        <w:rFonts w:cs="TiepoloItcTEEBoo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epoloItcTEEBoo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epoloItcTEEBoo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epoloItcTEEBoo" w:hint="default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asciiTheme="majorBidi" w:hAnsiTheme="majorBidi" w:cstheme="majorBidi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epoloItcTEEBoo" w:hint="default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cs="TiepoloItcTEEBoo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epoloItcTEEBoo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epoloItcTEEBoo" w:hint="default"/>
      </w:rPr>
    </w:lvl>
  </w:abstractNum>
  <w:abstractNum w:abstractNumId="56" w15:restartNumberingAfterBreak="0">
    <w:nsid w:val="40554C4E"/>
    <w:multiLevelType w:val="hybridMultilevel"/>
    <w:tmpl w:val="1688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831F91"/>
    <w:multiLevelType w:val="hybridMultilevel"/>
    <w:tmpl w:val="69EC16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357BB"/>
    <w:multiLevelType w:val="hybridMultilevel"/>
    <w:tmpl w:val="9D22C47A"/>
    <w:lvl w:ilvl="0" w:tplc="1AFE0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606BF9"/>
    <w:multiLevelType w:val="multilevel"/>
    <w:tmpl w:val="E564E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0" w15:restartNumberingAfterBreak="0">
    <w:nsid w:val="45A33EF6"/>
    <w:multiLevelType w:val="hybridMultilevel"/>
    <w:tmpl w:val="27A8C5E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340E6B"/>
    <w:multiLevelType w:val="hybridMultilevel"/>
    <w:tmpl w:val="B2F2A4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480A5A04"/>
    <w:multiLevelType w:val="hybridMultilevel"/>
    <w:tmpl w:val="18BADA48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81D45C4"/>
    <w:multiLevelType w:val="multilevel"/>
    <w:tmpl w:val="5C5C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8842F13"/>
    <w:multiLevelType w:val="hybridMultilevel"/>
    <w:tmpl w:val="65FAA42E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930077"/>
    <w:multiLevelType w:val="hybridMultilevel"/>
    <w:tmpl w:val="3E3CF22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AA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8807FD"/>
    <w:multiLevelType w:val="multilevel"/>
    <w:tmpl w:val="88ACD79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BAC3EB5"/>
    <w:multiLevelType w:val="multilevel"/>
    <w:tmpl w:val="E564E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8" w15:restartNumberingAfterBreak="0">
    <w:nsid w:val="4F9727D6"/>
    <w:multiLevelType w:val="hybridMultilevel"/>
    <w:tmpl w:val="CA6A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622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D41934"/>
    <w:multiLevelType w:val="hybridMultilevel"/>
    <w:tmpl w:val="CDB2C1D6"/>
    <w:lvl w:ilvl="0" w:tplc="BDBEC9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5C36D26"/>
    <w:multiLevelType w:val="multilevel"/>
    <w:tmpl w:val="3C8E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7AB7691"/>
    <w:multiLevelType w:val="hybridMultilevel"/>
    <w:tmpl w:val="65F841FE"/>
    <w:lvl w:ilvl="0" w:tplc="1272E36E">
      <w:start w:val="1"/>
      <w:numFmt w:val="decimal"/>
      <w:lvlText w:val="10.4.%1."/>
      <w:lvlJc w:val="left"/>
      <w:pPr>
        <w:ind w:left="3168" w:hanging="360"/>
      </w:pPr>
      <w:rPr>
        <w:rFonts w:hint="default"/>
      </w:rPr>
    </w:lvl>
    <w:lvl w:ilvl="1" w:tplc="F73C6996">
      <w:start w:val="1"/>
      <w:numFmt w:val="decimal"/>
      <w:lvlText w:val="10.4.%2."/>
      <w:lvlJc w:val="left"/>
      <w:pPr>
        <w:ind w:left="1440" w:hanging="360"/>
      </w:pPr>
      <w:rPr>
        <w:rFonts w:hint="default"/>
        <w:b/>
      </w:rPr>
    </w:lvl>
    <w:lvl w:ilvl="2" w:tplc="F66897C6">
      <w:start w:val="1"/>
      <w:numFmt w:val="decimal"/>
      <w:lvlText w:val="10.4.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1E3F33"/>
    <w:multiLevelType w:val="hybridMultilevel"/>
    <w:tmpl w:val="30B2A366"/>
    <w:lvl w:ilvl="0" w:tplc="F90859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B2661E"/>
    <w:multiLevelType w:val="multilevel"/>
    <w:tmpl w:val="37366E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8ED4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924735A"/>
    <w:multiLevelType w:val="hybridMultilevel"/>
    <w:tmpl w:val="ED7671E8"/>
    <w:lvl w:ilvl="0" w:tplc="CCFA202C">
      <w:start w:val="1"/>
      <w:numFmt w:val="decimal"/>
      <w:lvlText w:val="6.3.%1."/>
      <w:lvlJc w:val="left"/>
      <w:pPr>
        <w:ind w:left="1512" w:hanging="360"/>
      </w:pPr>
      <w:rPr>
        <w:rFonts w:hint="default"/>
      </w:rPr>
    </w:lvl>
    <w:lvl w:ilvl="1" w:tplc="0F022ACA">
      <w:start w:val="1"/>
      <w:numFmt w:val="decimal"/>
      <w:lvlText w:val="6.3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8F7A0C"/>
    <w:multiLevelType w:val="hybridMultilevel"/>
    <w:tmpl w:val="F1501C72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B0527B1"/>
    <w:multiLevelType w:val="multilevel"/>
    <w:tmpl w:val="28023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B906A0C"/>
    <w:multiLevelType w:val="multilevel"/>
    <w:tmpl w:val="E564E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80" w15:restartNumberingAfterBreak="0">
    <w:nsid w:val="5B952DCD"/>
    <w:multiLevelType w:val="hybridMultilevel"/>
    <w:tmpl w:val="23A87072"/>
    <w:lvl w:ilvl="0" w:tplc="2B0251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C091DDA"/>
    <w:multiLevelType w:val="hybridMultilevel"/>
    <w:tmpl w:val="3A94B9B0"/>
    <w:lvl w:ilvl="0" w:tplc="024EA56C">
      <w:start w:val="1"/>
      <w:numFmt w:val="decimal"/>
      <w:lvlText w:val="10.3.%1."/>
      <w:lvlJc w:val="left"/>
      <w:pPr>
        <w:ind w:left="3883" w:hanging="180"/>
      </w:pPr>
      <w:rPr>
        <w:rFonts w:hint="default"/>
      </w:rPr>
    </w:lvl>
    <w:lvl w:ilvl="1" w:tplc="253E42CE">
      <w:start w:val="1"/>
      <w:numFmt w:val="decimal"/>
      <w:lvlText w:val="10.3.%2."/>
      <w:lvlJc w:val="left"/>
      <w:pPr>
        <w:ind w:left="1637" w:hanging="360"/>
      </w:pPr>
      <w:rPr>
        <w:rFonts w:hint="default"/>
        <w:b/>
      </w:rPr>
    </w:lvl>
    <w:lvl w:ilvl="2" w:tplc="A620A4DC">
      <w:start w:val="1"/>
      <w:numFmt w:val="decimal"/>
      <w:lvlText w:val="10.3.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8A5A0F"/>
    <w:multiLevelType w:val="multilevel"/>
    <w:tmpl w:val="E564E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83" w15:restartNumberingAfterBreak="0">
    <w:nsid w:val="5DBA00CD"/>
    <w:multiLevelType w:val="hybridMultilevel"/>
    <w:tmpl w:val="3CE4667C"/>
    <w:lvl w:ilvl="0" w:tplc="FEE2DF06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E15DC"/>
    <w:multiLevelType w:val="hybridMultilevel"/>
    <w:tmpl w:val="9D52E682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6686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CF259D"/>
    <w:multiLevelType w:val="hybridMultilevel"/>
    <w:tmpl w:val="5484A17E"/>
    <w:lvl w:ilvl="0" w:tplc="B428D62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9F70577"/>
    <w:multiLevelType w:val="hybridMultilevel"/>
    <w:tmpl w:val="BD620F76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883976"/>
    <w:multiLevelType w:val="hybridMultilevel"/>
    <w:tmpl w:val="0102F9B4"/>
    <w:lvl w:ilvl="0" w:tplc="386AC9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F097FBE"/>
    <w:multiLevelType w:val="multilevel"/>
    <w:tmpl w:val="F1D89C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0.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FCF1F1E"/>
    <w:multiLevelType w:val="multilevel"/>
    <w:tmpl w:val="FC946792"/>
    <w:lvl w:ilvl="0">
      <w:start w:val="10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1" w15:restartNumberingAfterBreak="0">
    <w:nsid w:val="712E33DC"/>
    <w:multiLevelType w:val="hybridMultilevel"/>
    <w:tmpl w:val="9C1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E9113D"/>
    <w:multiLevelType w:val="multilevel"/>
    <w:tmpl w:val="C55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6C22CB"/>
    <w:multiLevelType w:val="hybridMultilevel"/>
    <w:tmpl w:val="B010F26E"/>
    <w:lvl w:ilvl="0" w:tplc="F41A3B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54D4D06"/>
    <w:multiLevelType w:val="hybridMultilevel"/>
    <w:tmpl w:val="9D00714E"/>
    <w:lvl w:ilvl="0" w:tplc="15A815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66D0D9E"/>
    <w:multiLevelType w:val="hybridMultilevel"/>
    <w:tmpl w:val="2EFAA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6706A5D"/>
    <w:multiLevelType w:val="hybridMultilevel"/>
    <w:tmpl w:val="9A309C56"/>
    <w:lvl w:ilvl="0" w:tplc="513A938E">
      <w:start w:val="1"/>
      <w:numFmt w:val="decimal"/>
      <w:lvlText w:val="%1)"/>
      <w:lvlJc w:val="left"/>
      <w:pPr>
        <w:tabs>
          <w:tab w:val="num" w:pos="1740"/>
        </w:tabs>
        <w:ind w:left="17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72311C"/>
    <w:multiLevelType w:val="hybridMultilevel"/>
    <w:tmpl w:val="C0C01502"/>
    <w:lvl w:ilvl="0" w:tplc="0415000F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92428BE"/>
    <w:multiLevelType w:val="hybridMultilevel"/>
    <w:tmpl w:val="830CCF84"/>
    <w:lvl w:ilvl="0" w:tplc="AB1280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99215C3"/>
    <w:multiLevelType w:val="hybridMultilevel"/>
    <w:tmpl w:val="FE20C49E"/>
    <w:lvl w:ilvl="0" w:tplc="667C3058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00" w15:restartNumberingAfterBreak="0">
    <w:nsid w:val="7B066D99"/>
    <w:multiLevelType w:val="hybridMultilevel"/>
    <w:tmpl w:val="18A48DE0"/>
    <w:lvl w:ilvl="0" w:tplc="6A942B7E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8E87B6">
      <w:start w:val="1"/>
      <w:numFmt w:val="decimal"/>
      <w:lvlText w:val="%3)"/>
      <w:lvlJc w:val="left"/>
      <w:pPr>
        <w:tabs>
          <w:tab w:val="num" w:pos="1740"/>
        </w:tabs>
        <w:ind w:left="1740" w:hanging="180"/>
      </w:pPr>
      <w:rPr>
        <w:rFonts w:ascii="Verdana" w:hAnsi="Verdana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B565FD1"/>
    <w:multiLevelType w:val="hybridMultilevel"/>
    <w:tmpl w:val="7FFE9950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475B32"/>
    <w:multiLevelType w:val="hybridMultilevel"/>
    <w:tmpl w:val="87507C14"/>
    <w:lvl w:ilvl="0" w:tplc="8BF6CF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97"/>
  </w:num>
  <w:num w:numId="3">
    <w:abstractNumId w:val="94"/>
  </w:num>
  <w:num w:numId="4">
    <w:abstractNumId w:val="84"/>
  </w:num>
  <w:num w:numId="5">
    <w:abstractNumId w:val="17"/>
  </w:num>
  <w:num w:numId="6">
    <w:abstractNumId w:val="46"/>
  </w:num>
  <w:num w:numId="7">
    <w:abstractNumId w:val="102"/>
  </w:num>
  <w:num w:numId="8">
    <w:abstractNumId w:val="98"/>
  </w:num>
  <w:num w:numId="9">
    <w:abstractNumId w:val="12"/>
  </w:num>
  <w:num w:numId="10">
    <w:abstractNumId w:val="93"/>
  </w:num>
  <w:num w:numId="11">
    <w:abstractNumId w:val="63"/>
  </w:num>
  <w:num w:numId="12">
    <w:abstractNumId w:val="70"/>
  </w:num>
  <w:num w:numId="13">
    <w:abstractNumId w:val="24"/>
  </w:num>
  <w:num w:numId="14">
    <w:abstractNumId w:val="9"/>
  </w:num>
  <w:num w:numId="15">
    <w:abstractNumId w:val="87"/>
  </w:num>
  <w:num w:numId="16">
    <w:abstractNumId w:val="50"/>
  </w:num>
  <w:num w:numId="17">
    <w:abstractNumId w:val="3"/>
  </w:num>
  <w:num w:numId="18">
    <w:abstractNumId w:val="62"/>
  </w:num>
  <w:num w:numId="19">
    <w:abstractNumId w:val="80"/>
  </w:num>
  <w:num w:numId="20">
    <w:abstractNumId w:val="101"/>
  </w:num>
  <w:num w:numId="21">
    <w:abstractNumId w:val="95"/>
  </w:num>
  <w:num w:numId="22">
    <w:abstractNumId w:val="52"/>
  </w:num>
  <w:num w:numId="23">
    <w:abstractNumId w:val="77"/>
  </w:num>
  <w:num w:numId="24">
    <w:abstractNumId w:val="64"/>
  </w:num>
  <w:num w:numId="25">
    <w:abstractNumId w:val="26"/>
  </w:num>
  <w:num w:numId="26">
    <w:abstractNumId w:val="58"/>
  </w:num>
  <w:num w:numId="27">
    <w:abstractNumId w:val="53"/>
  </w:num>
  <w:num w:numId="28">
    <w:abstractNumId w:val="92"/>
  </w:num>
  <w:num w:numId="29">
    <w:abstractNumId w:val="60"/>
  </w:num>
  <w:num w:numId="30">
    <w:abstractNumId w:val="21"/>
  </w:num>
  <w:num w:numId="31">
    <w:abstractNumId w:val="4"/>
  </w:num>
  <w:num w:numId="32">
    <w:abstractNumId w:val="33"/>
  </w:num>
  <w:num w:numId="33">
    <w:abstractNumId w:val="35"/>
  </w:num>
  <w:num w:numId="34">
    <w:abstractNumId w:val="73"/>
  </w:num>
  <w:num w:numId="35">
    <w:abstractNumId w:val="27"/>
  </w:num>
  <w:num w:numId="36">
    <w:abstractNumId w:val="13"/>
  </w:num>
  <w:num w:numId="37">
    <w:abstractNumId w:val="38"/>
  </w:num>
  <w:num w:numId="38">
    <w:abstractNumId w:val="40"/>
  </w:num>
  <w:num w:numId="39">
    <w:abstractNumId w:val="25"/>
  </w:num>
  <w:num w:numId="40">
    <w:abstractNumId w:val="29"/>
  </w:num>
  <w:num w:numId="41">
    <w:abstractNumId w:val="99"/>
  </w:num>
  <w:num w:numId="42">
    <w:abstractNumId w:val="30"/>
  </w:num>
  <w:num w:numId="43">
    <w:abstractNumId w:val="10"/>
  </w:num>
  <w:num w:numId="44">
    <w:abstractNumId w:val="7"/>
  </w:num>
  <w:num w:numId="45">
    <w:abstractNumId w:val="88"/>
  </w:num>
  <w:num w:numId="46">
    <w:abstractNumId w:val="22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3"/>
  </w:num>
  <w:num w:numId="50">
    <w:abstractNumId w:val="44"/>
  </w:num>
  <w:num w:numId="51">
    <w:abstractNumId w:val="83"/>
  </w:num>
  <w:num w:numId="52">
    <w:abstractNumId w:val="1"/>
  </w:num>
  <w:num w:numId="53">
    <w:abstractNumId w:val="34"/>
  </w:num>
  <w:num w:numId="54">
    <w:abstractNumId w:val="100"/>
  </w:num>
  <w:num w:numId="55">
    <w:abstractNumId w:val="47"/>
  </w:num>
  <w:num w:numId="56">
    <w:abstractNumId w:val="20"/>
  </w:num>
  <w:num w:numId="57">
    <w:abstractNumId w:val="96"/>
  </w:num>
  <w:num w:numId="58">
    <w:abstractNumId w:val="5"/>
  </w:num>
  <w:num w:numId="59">
    <w:abstractNumId w:val="31"/>
  </w:num>
  <w:num w:numId="60">
    <w:abstractNumId w:val="71"/>
  </w:num>
  <w:num w:numId="61">
    <w:abstractNumId w:val="14"/>
  </w:num>
  <w:num w:numId="62">
    <w:abstractNumId w:val="2"/>
  </w:num>
  <w:num w:numId="63">
    <w:abstractNumId w:val="11"/>
  </w:num>
  <w:num w:numId="64">
    <w:abstractNumId w:val="78"/>
  </w:num>
  <w:num w:numId="65">
    <w:abstractNumId w:val="89"/>
  </w:num>
  <w:num w:numId="66">
    <w:abstractNumId w:val="74"/>
  </w:num>
  <w:num w:numId="67">
    <w:abstractNumId w:val="82"/>
  </w:num>
  <w:num w:numId="68">
    <w:abstractNumId w:val="43"/>
  </w:num>
  <w:num w:numId="69">
    <w:abstractNumId w:val="6"/>
  </w:num>
  <w:num w:numId="70">
    <w:abstractNumId w:val="66"/>
  </w:num>
  <w:num w:numId="71">
    <w:abstractNumId w:val="75"/>
  </w:num>
  <w:num w:numId="72">
    <w:abstractNumId w:val="59"/>
  </w:num>
  <w:num w:numId="73">
    <w:abstractNumId w:val="32"/>
  </w:num>
  <w:num w:numId="74">
    <w:abstractNumId w:val="79"/>
  </w:num>
  <w:num w:numId="75">
    <w:abstractNumId w:val="67"/>
  </w:num>
  <w:num w:numId="76">
    <w:abstractNumId w:val="19"/>
  </w:num>
  <w:num w:numId="77">
    <w:abstractNumId w:val="51"/>
  </w:num>
  <w:num w:numId="78">
    <w:abstractNumId w:val="76"/>
  </w:num>
  <w:num w:numId="79">
    <w:abstractNumId w:val="18"/>
  </w:num>
  <w:num w:numId="80">
    <w:abstractNumId w:val="81"/>
  </w:num>
  <w:num w:numId="81">
    <w:abstractNumId w:val="72"/>
  </w:num>
  <w:num w:numId="82">
    <w:abstractNumId w:val="16"/>
  </w:num>
  <w:num w:numId="83">
    <w:abstractNumId w:val="42"/>
  </w:num>
  <w:num w:numId="84">
    <w:abstractNumId w:val="0"/>
  </w:num>
  <w:num w:numId="85">
    <w:abstractNumId w:val="28"/>
  </w:num>
  <w:num w:numId="86">
    <w:abstractNumId w:val="49"/>
  </w:num>
  <w:num w:numId="87">
    <w:abstractNumId w:val="85"/>
  </w:num>
  <w:num w:numId="88">
    <w:abstractNumId w:val="57"/>
  </w:num>
  <w:num w:numId="89">
    <w:abstractNumId w:val="36"/>
  </w:num>
  <w:num w:numId="90">
    <w:abstractNumId w:val="69"/>
  </w:num>
  <w:num w:numId="91">
    <w:abstractNumId w:val="65"/>
  </w:num>
  <w:num w:numId="92">
    <w:abstractNumId w:val="91"/>
  </w:num>
  <w:num w:numId="93">
    <w:abstractNumId w:val="61"/>
  </w:num>
  <w:num w:numId="94">
    <w:abstractNumId w:val="86"/>
  </w:num>
  <w:num w:numId="95">
    <w:abstractNumId w:val="48"/>
  </w:num>
  <w:num w:numId="96">
    <w:abstractNumId w:val="41"/>
  </w:num>
  <w:num w:numId="97">
    <w:abstractNumId w:val="68"/>
  </w:num>
  <w:num w:numId="98">
    <w:abstractNumId w:val="37"/>
  </w:num>
  <w:num w:numId="99">
    <w:abstractNumId w:val="8"/>
  </w:num>
  <w:num w:numId="100">
    <w:abstractNumId w:val="55"/>
  </w:num>
  <w:num w:numId="101">
    <w:abstractNumId w:val="54"/>
  </w:num>
  <w:num w:numId="102">
    <w:abstractNumId w:val="39"/>
  </w:num>
  <w:num w:numId="103">
    <w:abstractNumId w:val="90"/>
  </w:num>
  <w:num w:numId="104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BD"/>
    <w:rsid w:val="00003143"/>
    <w:rsid w:val="00005075"/>
    <w:rsid w:val="00011606"/>
    <w:rsid w:val="000146F5"/>
    <w:rsid w:val="00014D9B"/>
    <w:rsid w:val="00017320"/>
    <w:rsid w:val="0002149A"/>
    <w:rsid w:val="00023826"/>
    <w:rsid w:val="00027BFF"/>
    <w:rsid w:val="00031AD2"/>
    <w:rsid w:val="00034171"/>
    <w:rsid w:val="000357BD"/>
    <w:rsid w:val="00036EF3"/>
    <w:rsid w:val="000427B8"/>
    <w:rsid w:val="00042E77"/>
    <w:rsid w:val="00043E0F"/>
    <w:rsid w:val="000463A8"/>
    <w:rsid w:val="00046656"/>
    <w:rsid w:val="000475F2"/>
    <w:rsid w:val="00052FD1"/>
    <w:rsid w:val="00054661"/>
    <w:rsid w:val="00054B97"/>
    <w:rsid w:val="00054F26"/>
    <w:rsid w:val="00056A80"/>
    <w:rsid w:val="00066F87"/>
    <w:rsid w:val="0007138F"/>
    <w:rsid w:val="0007181C"/>
    <w:rsid w:val="00071E19"/>
    <w:rsid w:val="0007249B"/>
    <w:rsid w:val="0007314D"/>
    <w:rsid w:val="000732EB"/>
    <w:rsid w:val="000744BE"/>
    <w:rsid w:val="00075D23"/>
    <w:rsid w:val="00077695"/>
    <w:rsid w:val="00080551"/>
    <w:rsid w:val="00081D7F"/>
    <w:rsid w:val="0009043F"/>
    <w:rsid w:val="0009078F"/>
    <w:rsid w:val="00090CA3"/>
    <w:rsid w:val="00093D70"/>
    <w:rsid w:val="000942FA"/>
    <w:rsid w:val="000A2C50"/>
    <w:rsid w:val="000A451B"/>
    <w:rsid w:val="000B074F"/>
    <w:rsid w:val="000B5310"/>
    <w:rsid w:val="000B5825"/>
    <w:rsid w:val="000B649B"/>
    <w:rsid w:val="000B747E"/>
    <w:rsid w:val="000B78E2"/>
    <w:rsid w:val="000C30E2"/>
    <w:rsid w:val="000C3A3D"/>
    <w:rsid w:val="000C52D1"/>
    <w:rsid w:val="000C5872"/>
    <w:rsid w:val="000C6BA0"/>
    <w:rsid w:val="000D01DD"/>
    <w:rsid w:val="000D0533"/>
    <w:rsid w:val="000D621C"/>
    <w:rsid w:val="000E542F"/>
    <w:rsid w:val="000E590D"/>
    <w:rsid w:val="000E62E9"/>
    <w:rsid w:val="000F25EF"/>
    <w:rsid w:val="000F2E37"/>
    <w:rsid w:val="000F3EDA"/>
    <w:rsid w:val="000F4A61"/>
    <w:rsid w:val="000F547B"/>
    <w:rsid w:val="000F6C67"/>
    <w:rsid w:val="000F6CA9"/>
    <w:rsid w:val="000F7FF7"/>
    <w:rsid w:val="00105294"/>
    <w:rsid w:val="0010594D"/>
    <w:rsid w:val="001065ED"/>
    <w:rsid w:val="00110215"/>
    <w:rsid w:val="00114EC0"/>
    <w:rsid w:val="0012023A"/>
    <w:rsid w:val="00123DE7"/>
    <w:rsid w:val="00125D4E"/>
    <w:rsid w:val="00133614"/>
    <w:rsid w:val="001343D7"/>
    <w:rsid w:val="00135CD8"/>
    <w:rsid w:val="00135F9D"/>
    <w:rsid w:val="001416D2"/>
    <w:rsid w:val="00150A2E"/>
    <w:rsid w:val="00156D49"/>
    <w:rsid w:val="001579ED"/>
    <w:rsid w:val="00163D66"/>
    <w:rsid w:val="00166865"/>
    <w:rsid w:val="00166DA9"/>
    <w:rsid w:val="001670C5"/>
    <w:rsid w:val="00170106"/>
    <w:rsid w:val="001728CA"/>
    <w:rsid w:val="00174364"/>
    <w:rsid w:val="00174E2A"/>
    <w:rsid w:val="00176A5D"/>
    <w:rsid w:val="00177E20"/>
    <w:rsid w:val="0018337D"/>
    <w:rsid w:val="00183D2A"/>
    <w:rsid w:val="00184FEF"/>
    <w:rsid w:val="00185E7B"/>
    <w:rsid w:val="00191E07"/>
    <w:rsid w:val="00194295"/>
    <w:rsid w:val="0019580A"/>
    <w:rsid w:val="0019618C"/>
    <w:rsid w:val="001972EB"/>
    <w:rsid w:val="001A1243"/>
    <w:rsid w:val="001A4F23"/>
    <w:rsid w:val="001A7C31"/>
    <w:rsid w:val="001B01EE"/>
    <w:rsid w:val="001B235A"/>
    <w:rsid w:val="001B2857"/>
    <w:rsid w:val="001B466D"/>
    <w:rsid w:val="001B4C16"/>
    <w:rsid w:val="001B590E"/>
    <w:rsid w:val="001B60AC"/>
    <w:rsid w:val="001B756E"/>
    <w:rsid w:val="001B7973"/>
    <w:rsid w:val="001B7D35"/>
    <w:rsid w:val="001C12B8"/>
    <w:rsid w:val="001C59B6"/>
    <w:rsid w:val="001E4158"/>
    <w:rsid w:val="001E7F31"/>
    <w:rsid w:val="001F0FAC"/>
    <w:rsid w:val="001F21A6"/>
    <w:rsid w:val="0020106E"/>
    <w:rsid w:val="00205569"/>
    <w:rsid w:val="002060CB"/>
    <w:rsid w:val="00206E86"/>
    <w:rsid w:val="00207B1A"/>
    <w:rsid w:val="002102D5"/>
    <w:rsid w:val="00214727"/>
    <w:rsid w:val="00216756"/>
    <w:rsid w:val="002216EB"/>
    <w:rsid w:val="00222CE9"/>
    <w:rsid w:val="00223975"/>
    <w:rsid w:val="00223E69"/>
    <w:rsid w:val="00225702"/>
    <w:rsid w:val="00226DBB"/>
    <w:rsid w:val="00230EFB"/>
    <w:rsid w:val="002312E1"/>
    <w:rsid w:val="00232289"/>
    <w:rsid w:val="0023283F"/>
    <w:rsid w:val="002348FB"/>
    <w:rsid w:val="00235855"/>
    <w:rsid w:val="002409DE"/>
    <w:rsid w:val="00240FE6"/>
    <w:rsid w:val="002428E6"/>
    <w:rsid w:val="0024306B"/>
    <w:rsid w:val="002517FC"/>
    <w:rsid w:val="00251A43"/>
    <w:rsid w:val="00252A41"/>
    <w:rsid w:val="00257551"/>
    <w:rsid w:val="00260185"/>
    <w:rsid w:val="00260BFA"/>
    <w:rsid w:val="00261F73"/>
    <w:rsid w:val="002645CE"/>
    <w:rsid w:val="00271EFE"/>
    <w:rsid w:val="00272DFF"/>
    <w:rsid w:val="00274899"/>
    <w:rsid w:val="00276978"/>
    <w:rsid w:val="00281C25"/>
    <w:rsid w:val="0028262F"/>
    <w:rsid w:val="00283EF5"/>
    <w:rsid w:val="00285537"/>
    <w:rsid w:val="002870A0"/>
    <w:rsid w:val="002916B3"/>
    <w:rsid w:val="00294EDD"/>
    <w:rsid w:val="002954CB"/>
    <w:rsid w:val="002A1A6B"/>
    <w:rsid w:val="002A27E8"/>
    <w:rsid w:val="002A3480"/>
    <w:rsid w:val="002A64FE"/>
    <w:rsid w:val="002A6D8E"/>
    <w:rsid w:val="002B1EDF"/>
    <w:rsid w:val="002B2AAF"/>
    <w:rsid w:val="002C335D"/>
    <w:rsid w:val="002C7ED1"/>
    <w:rsid w:val="002D0AFD"/>
    <w:rsid w:val="002D35B2"/>
    <w:rsid w:val="002D3F24"/>
    <w:rsid w:val="002D42EB"/>
    <w:rsid w:val="002D48AE"/>
    <w:rsid w:val="002D761B"/>
    <w:rsid w:val="002E1E34"/>
    <w:rsid w:val="002E3A25"/>
    <w:rsid w:val="002E6DD2"/>
    <w:rsid w:val="002E71DC"/>
    <w:rsid w:val="002F0392"/>
    <w:rsid w:val="002F2B35"/>
    <w:rsid w:val="002F5F5B"/>
    <w:rsid w:val="002F5F99"/>
    <w:rsid w:val="003000A6"/>
    <w:rsid w:val="00303A3B"/>
    <w:rsid w:val="00304829"/>
    <w:rsid w:val="00304E75"/>
    <w:rsid w:val="003051BD"/>
    <w:rsid w:val="00306874"/>
    <w:rsid w:val="0030779F"/>
    <w:rsid w:val="003139E5"/>
    <w:rsid w:val="00313BB9"/>
    <w:rsid w:val="003159BE"/>
    <w:rsid w:val="00316B81"/>
    <w:rsid w:val="00320F5C"/>
    <w:rsid w:val="0032739C"/>
    <w:rsid w:val="003347D9"/>
    <w:rsid w:val="0033616F"/>
    <w:rsid w:val="0033760E"/>
    <w:rsid w:val="00337ADE"/>
    <w:rsid w:val="0034261C"/>
    <w:rsid w:val="003450EF"/>
    <w:rsid w:val="0035050D"/>
    <w:rsid w:val="0035192E"/>
    <w:rsid w:val="00353623"/>
    <w:rsid w:val="003548D3"/>
    <w:rsid w:val="00356E19"/>
    <w:rsid w:val="0035791A"/>
    <w:rsid w:val="0036001B"/>
    <w:rsid w:val="00361642"/>
    <w:rsid w:val="00363A0F"/>
    <w:rsid w:val="003704ED"/>
    <w:rsid w:val="00372104"/>
    <w:rsid w:val="003727FC"/>
    <w:rsid w:val="003744B6"/>
    <w:rsid w:val="003771B2"/>
    <w:rsid w:val="003779AC"/>
    <w:rsid w:val="00381CDC"/>
    <w:rsid w:val="00385F09"/>
    <w:rsid w:val="0039100C"/>
    <w:rsid w:val="00393532"/>
    <w:rsid w:val="00396915"/>
    <w:rsid w:val="0039730E"/>
    <w:rsid w:val="003A0269"/>
    <w:rsid w:val="003A0D9E"/>
    <w:rsid w:val="003A2CFF"/>
    <w:rsid w:val="003A2E91"/>
    <w:rsid w:val="003A3B3E"/>
    <w:rsid w:val="003A5163"/>
    <w:rsid w:val="003B2A44"/>
    <w:rsid w:val="003C3CB4"/>
    <w:rsid w:val="003C4550"/>
    <w:rsid w:val="003C47E0"/>
    <w:rsid w:val="003C5415"/>
    <w:rsid w:val="003C569E"/>
    <w:rsid w:val="003C6874"/>
    <w:rsid w:val="003C697D"/>
    <w:rsid w:val="003C6C90"/>
    <w:rsid w:val="003D0178"/>
    <w:rsid w:val="003D1E28"/>
    <w:rsid w:val="003D73E3"/>
    <w:rsid w:val="003E0569"/>
    <w:rsid w:val="003E32B4"/>
    <w:rsid w:val="003E45F9"/>
    <w:rsid w:val="003F13A4"/>
    <w:rsid w:val="003F13A8"/>
    <w:rsid w:val="003F641A"/>
    <w:rsid w:val="00401482"/>
    <w:rsid w:val="00406B53"/>
    <w:rsid w:val="00407602"/>
    <w:rsid w:val="004140C3"/>
    <w:rsid w:val="00417092"/>
    <w:rsid w:val="004207C5"/>
    <w:rsid w:val="00431E00"/>
    <w:rsid w:val="00436B55"/>
    <w:rsid w:val="00437FE1"/>
    <w:rsid w:val="004402E3"/>
    <w:rsid w:val="004409CD"/>
    <w:rsid w:val="00440BF4"/>
    <w:rsid w:val="004425FC"/>
    <w:rsid w:val="004468D6"/>
    <w:rsid w:val="00447121"/>
    <w:rsid w:val="00452A0A"/>
    <w:rsid w:val="00454AAD"/>
    <w:rsid w:val="00457864"/>
    <w:rsid w:val="00460570"/>
    <w:rsid w:val="00461753"/>
    <w:rsid w:val="0046223D"/>
    <w:rsid w:val="00464933"/>
    <w:rsid w:val="00465C95"/>
    <w:rsid w:val="00467313"/>
    <w:rsid w:val="004700EE"/>
    <w:rsid w:val="00473A2A"/>
    <w:rsid w:val="004747D9"/>
    <w:rsid w:val="00475375"/>
    <w:rsid w:val="00476866"/>
    <w:rsid w:val="00484695"/>
    <w:rsid w:val="00485B78"/>
    <w:rsid w:val="00486334"/>
    <w:rsid w:val="004878E5"/>
    <w:rsid w:val="004A013D"/>
    <w:rsid w:val="004A3DEF"/>
    <w:rsid w:val="004A4FC8"/>
    <w:rsid w:val="004A5A7A"/>
    <w:rsid w:val="004A76D1"/>
    <w:rsid w:val="004B3B1F"/>
    <w:rsid w:val="004B5036"/>
    <w:rsid w:val="004B68A2"/>
    <w:rsid w:val="004B712C"/>
    <w:rsid w:val="004C27E0"/>
    <w:rsid w:val="004C4E95"/>
    <w:rsid w:val="004D4B48"/>
    <w:rsid w:val="004D66AC"/>
    <w:rsid w:val="004D72E7"/>
    <w:rsid w:val="004D7D67"/>
    <w:rsid w:val="004E2E48"/>
    <w:rsid w:val="004E37EF"/>
    <w:rsid w:val="004E7F6F"/>
    <w:rsid w:val="004F4EE7"/>
    <w:rsid w:val="004F5762"/>
    <w:rsid w:val="004F64C3"/>
    <w:rsid w:val="004F77B1"/>
    <w:rsid w:val="005034A5"/>
    <w:rsid w:val="00503B9B"/>
    <w:rsid w:val="00504979"/>
    <w:rsid w:val="00504F74"/>
    <w:rsid w:val="0050568E"/>
    <w:rsid w:val="005122B9"/>
    <w:rsid w:val="00516C4C"/>
    <w:rsid w:val="00520BF4"/>
    <w:rsid w:val="00521D7F"/>
    <w:rsid w:val="00526D53"/>
    <w:rsid w:val="00527FB6"/>
    <w:rsid w:val="005302AB"/>
    <w:rsid w:val="00532762"/>
    <w:rsid w:val="00534478"/>
    <w:rsid w:val="00534865"/>
    <w:rsid w:val="00534A55"/>
    <w:rsid w:val="00536BC8"/>
    <w:rsid w:val="00536EF3"/>
    <w:rsid w:val="00543B1E"/>
    <w:rsid w:val="005455B9"/>
    <w:rsid w:val="005501FC"/>
    <w:rsid w:val="00550F1D"/>
    <w:rsid w:val="00552E8B"/>
    <w:rsid w:val="00552E9F"/>
    <w:rsid w:val="005539FE"/>
    <w:rsid w:val="0055652D"/>
    <w:rsid w:val="00556779"/>
    <w:rsid w:val="005606F3"/>
    <w:rsid w:val="00560AD8"/>
    <w:rsid w:val="0056345E"/>
    <w:rsid w:val="00564F23"/>
    <w:rsid w:val="0056648C"/>
    <w:rsid w:val="00570975"/>
    <w:rsid w:val="00571346"/>
    <w:rsid w:val="005727F3"/>
    <w:rsid w:val="00572D8A"/>
    <w:rsid w:val="0057331A"/>
    <w:rsid w:val="005733DB"/>
    <w:rsid w:val="00577325"/>
    <w:rsid w:val="0057793A"/>
    <w:rsid w:val="00585C16"/>
    <w:rsid w:val="00585E4E"/>
    <w:rsid w:val="005974E9"/>
    <w:rsid w:val="005A08BF"/>
    <w:rsid w:val="005A0DFE"/>
    <w:rsid w:val="005A19B6"/>
    <w:rsid w:val="005A228C"/>
    <w:rsid w:val="005A29E7"/>
    <w:rsid w:val="005A37FB"/>
    <w:rsid w:val="005A5E00"/>
    <w:rsid w:val="005A634D"/>
    <w:rsid w:val="005A641D"/>
    <w:rsid w:val="005A6F8E"/>
    <w:rsid w:val="005A7220"/>
    <w:rsid w:val="005A7DA4"/>
    <w:rsid w:val="005B5612"/>
    <w:rsid w:val="005B7EB0"/>
    <w:rsid w:val="005C01FF"/>
    <w:rsid w:val="005C31FF"/>
    <w:rsid w:val="005C5AE0"/>
    <w:rsid w:val="005C7CE3"/>
    <w:rsid w:val="005D0726"/>
    <w:rsid w:val="005D0746"/>
    <w:rsid w:val="005D0D3D"/>
    <w:rsid w:val="005D1678"/>
    <w:rsid w:val="005D5564"/>
    <w:rsid w:val="005D56FA"/>
    <w:rsid w:val="005D6DCE"/>
    <w:rsid w:val="005D6E58"/>
    <w:rsid w:val="005E0C06"/>
    <w:rsid w:val="005E3E90"/>
    <w:rsid w:val="005E4E51"/>
    <w:rsid w:val="005E6C28"/>
    <w:rsid w:val="005E6DA9"/>
    <w:rsid w:val="005E761A"/>
    <w:rsid w:val="005E7678"/>
    <w:rsid w:val="005F5E2A"/>
    <w:rsid w:val="005F7AD6"/>
    <w:rsid w:val="00601F00"/>
    <w:rsid w:val="00604CF9"/>
    <w:rsid w:val="0060692D"/>
    <w:rsid w:val="00610085"/>
    <w:rsid w:val="006105BD"/>
    <w:rsid w:val="006145B2"/>
    <w:rsid w:val="00614C75"/>
    <w:rsid w:val="006154C9"/>
    <w:rsid w:val="00624FB0"/>
    <w:rsid w:val="0062529D"/>
    <w:rsid w:val="006336C0"/>
    <w:rsid w:val="0064375F"/>
    <w:rsid w:val="00644706"/>
    <w:rsid w:val="00645FA6"/>
    <w:rsid w:val="006476E4"/>
    <w:rsid w:val="0064779E"/>
    <w:rsid w:val="006509B9"/>
    <w:rsid w:val="00650BBB"/>
    <w:rsid w:val="00651600"/>
    <w:rsid w:val="00651723"/>
    <w:rsid w:val="00652EA1"/>
    <w:rsid w:val="00654057"/>
    <w:rsid w:val="006552C9"/>
    <w:rsid w:val="00657461"/>
    <w:rsid w:val="006603D4"/>
    <w:rsid w:val="00661158"/>
    <w:rsid w:val="00661762"/>
    <w:rsid w:val="00662F91"/>
    <w:rsid w:val="00663A61"/>
    <w:rsid w:val="006641FD"/>
    <w:rsid w:val="00665A1D"/>
    <w:rsid w:val="006671E9"/>
    <w:rsid w:val="006743B9"/>
    <w:rsid w:val="0067662C"/>
    <w:rsid w:val="006808B2"/>
    <w:rsid w:val="00691034"/>
    <w:rsid w:val="006923D5"/>
    <w:rsid w:val="00692F9F"/>
    <w:rsid w:val="00694E4D"/>
    <w:rsid w:val="00695960"/>
    <w:rsid w:val="006977F0"/>
    <w:rsid w:val="006A07DF"/>
    <w:rsid w:val="006A2703"/>
    <w:rsid w:val="006A292A"/>
    <w:rsid w:val="006A2940"/>
    <w:rsid w:val="006A3624"/>
    <w:rsid w:val="006A6006"/>
    <w:rsid w:val="006B4264"/>
    <w:rsid w:val="006B4A5A"/>
    <w:rsid w:val="006C550C"/>
    <w:rsid w:val="006C6C6E"/>
    <w:rsid w:val="006C7718"/>
    <w:rsid w:val="006D67CB"/>
    <w:rsid w:val="006E5059"/>
    <w:rsid w:val="006E5D0F"/>
    <w:rsid w:val="006E6068"/>
    <w:rsid w:val="006E6111"/>
    <w:rsid w:val="006E7367"/>
    <w:rsid w:val="006F576B"/>
    <w:rsid w:val="006F63D5"/>
    <w:rsid w:val="00700776"/>
    <w:rsid w:val="00702DAE"/>
    <w:rsid w:val="00704EFA"/>
    <w:rsid w:val="00704FAF"/>
    <w:rsid w:val="0071089E"/>
    <w:rsid w:val="0071383A"/>
    <w:rsid w:val="00714ED1"/>
    <w:rsid w:val="00715159"/>
    <w:rsid w:val="00720832"/>
    <w:rsid w:val="00721C8A"/>
    <w:rsid w:val="007239B2"/>
    <w:rsid w:val="00726D76"/>
    <w:rsid w:val="00730516"/>
    <w:rsid w:val="00732151"/>
    <w:rsid w:val="007339E3"/>
    <w:rsid w:val="00734103"/>
    <w:rsid w:val="00734910"/>
    <w:rsid w:val="00734E15"/>
    <w:rsid w:val="0073670F"/>
    <w:rsid w:val="00736A89"/>
    <w:rsid w:val="00737604"/>
    <w:rsid w:val="00740A27"/>
    <w:rsid w:val="0074387A"/>
    <w:rsid w:val="00745404"/>
    <w:rsid w:val="00745AB0"/>
    <w:rsid w:val="007530C9"/>
    <w:rsid w:val="0075625D"/>
    <w:rsid w:val="00756501"/>
    <w:rsid w:val="00762799"/>
    <w:rsid w:val="00764FD0"/>
    <w:rsid w:val="00765365"/>
    <w:rsid w:val="00774062"/>
    <w:rsid w:val="0077536A"/>
    <w:rsid w:val="00775E5C"/>
    <w:rsid w:val="00782F3F"/>
    <w:rsid w:val="0078363C"/>
    <w:rsid w:val="007856E8"/>
    <w:rsid w:val="00790DCD"/>
    <w:rsid w:val="00793A56"/>
    <w:rsid w:val="0079453D"/>
    <w:rsid w:val="00797926"/>
    <w:rsid w:val="007A0461"/>
    <w:rsid w:val="007A271C"/>
    <w:rsid w:val="007B02A6"/>
    <w:rsid w:val="007B0C89"/>
    <w:rsid w:val="007B189E"/>
    <w:rsid w:val="007B28F1"/>
    <w:rsid w:val="007B4216"/>
    <w:rsid w:val="007B5972"/>
    <w:rsid w:val="007B7BC2"/>
    <w:rsid w:val="007C03FB"/>
    <w:rsid w:val="007C0F68"/>
    <w:rsid w:val="007C7063"/>
    <w:rsid w:val="007C738B"/>
    <w:rsid w:val="007C74B4"/>
    <w:rsid w:val="007D2563"/>
    <w:rsid w:val="007D4514"/>
    <w:rsid w:val="007D4568"/>
    <w:rsid w:val="007D68C3"/>
    <w:rsid w:val="007E358A"/>
    <w:rsid w:val="007E59BD"/>
    <w:rsid w:val="007E6926"/>
    <w:rsid w:val="007F0CCD"/>
    <w:rsid w:val="007F39A5"/>
    <w:rsid w:val="007F4539"/>
    <w:rsid w:val="007F4F77"/>
    <w:rsid w:val="0080005B"/>
    <w:rsid w:val="00801FA8"/>
    <w:rsid w:val="00802362"/>
    <w:rsid w:val="00802D69"/>
    <w:rsid w:val="00803D7E"/>
    <w:rsid w:val="00804A3D"/>
    <w:rsid w:val="00807B7D"/>
    <w:rsid w:val="00811C8B"/>
    <w:rsid w:val="0081472E"/>
    <w:rsid w:val="00815965"/>
    <w:rsid w:val="00815F58"/>
    <w:rsid w:val="00817366"/>
    <w:rsid w:val="008207AE"/>
    <w:rsid w:val="0082658B"/>
    <w:rsid w:val="00826FF6"/>
    <w:rsid w:val="00832AE5"/>
    <w:rsid w:val="008344AA"/>
    <w:rsid w:val="00834E8C"/>
    <w:rsid w:val="00835A08"/>
    <w:rsid w:val="00843924"/>
    <w:rsid w:val="00846160"/>
    <w:rsid w:val="00860B9D"/>
    <w:rsid w:val="0086587F"/>
    <w:rsid w:val="00867E39"/>
    <w:rsid w:val="00871527"/>
    <w:rsid w:val="008749A8"/>
    <w:rsid w:val="0087772B"/>
    <w:rsid w:val="008804F2"/>
    <w:rsid w:val="00880CEA"/>
    <w:rsid w:val="00881FFD"/>
    <w:rsid w:val="00882101"/>
    <w:rsid w:val="00882E78"/>
    <w:rsid w:val="00883DB3"/>
    <w:rsid w:val="00887B68"/>
    <w:rsid w:val="00890C82"/>
    <w:rsid w:val="008911C3"/>
    <w:rsid w:val="00891CA4"/>
    <w:rsid w:val="00894450"/>
    <w:rsid w:val="008A07C5"/>
    <w:rsid w:val="008A4056"/>
    <w:rsid w:val="008A6B07"/>
    <w:rsid w:val="008A75B4"/>
    <w:rsid w:val="008B1D17"/>
    <w:rsid w:val="008B5D0A"/>
    <w:rsid w:val="008C4326"/>
    <w:rsid w:val="008D0B10"/>
    <w:rsid w:val="008D23E0"/>
    <w:rsid w:val="008D409D"/>
    <w:rsid w:val="008E31A0"/>
    <w:rsid w:val="008E6203"/>
    <w:rsid w:val="008E6C79"/>
    <w:rsid w:val="008E7B11"/>
    <w:rsid w:val="008F1A67"/>
    <w:rsid w:val="008F210C"/>
    <w:rsid w:val="008F3477"/>
    <w:rsid w:val="008F429F"/>
    <w:rsid w:val="008F5C9D"/>
    <w:rsid w:val="008F6FC9"/>
    <w:rsid w:val="008F784C"/>
    <w:rsid w:val="008F7A98"/>
    <w:rsid w:val="00905180"/>
    <w:rsid w:val="00907693"/>
    <w:rsid w:val="009106F3"/>
    <w:rsid w:val="0091312C"/>
    <w:rsid w:val="00913150"/>
    <w:rsid w:val="009249EF"/>
    <w:rsid w:val="0092645B"/>
    <w:rsid w:val="00927A8F"/>
    <w:rsid w:val="009312DE"/>
    <w:rsid w:val="009353A8"/>
    <w:rsid w:val="009366C0"/>
    <w:rsid w:val="00937C39"/>
    <w:rsid w:val="0094488F"/>
    <w:rsid w:val="00945146"/>
    <w:rsid w:val="00950C8D"/>
    <w:rsid w:val="009546B0"/>
    <w:rsid w:val="00954D67"/>
    <w:rsid w:val="00954EAE"/>
    <w:rsid w:val="00956819"/>
    <w:rsid w:val="00961654"/>
    <w:rsid w:val="009628BC"/>
    <w:rsid w:val="0096328A"/>
    <w:rsid w:val="00965F79"/>
    <w:rsid w:val="00977AA9"/>
    <w:rsid w:val="00987282"/>
    <w:rsid w:val="009872A2"/>
    <w:rsid w:val="00992225"/>
    <w:rsid w:val="0099262F"/>
    <w:rsid w:val="00992A10"/>
    <w:rsid w:val="00993F95"/>
    <w:rsid w:val="00994B0E"/>
    <w:rsid w:val="009959B0"/>
    <w:rsid w:val="00996574"/>
    <w:rsid w:val="00997E5D"/>
    <w:rsid w:val="009A3E8D"/>
    <w:rsid w:val="009A3EC2"/>
    <w:rsid w:val="009A5578"/>
    <w:rsid w:val="009A5625"/>
    <w:rsid w:val="009A58E1"/>
    <w:rsid w:val="009A71D3"/>
    <w:rsid w:val="009B12F6"/>
    <w:rsid w:val="009B263E"/>
    <w:rsid w:val="009C150C"/>
    <w:rsid w:val="009C6366"/>
    <w:rsid w:val="009D66E0"/>
    <w:rsid w:val="009D6F61"/>
    <w:rsid w:val="009D7743"/>
    <w:rsid w:val="009E1FA7"/>
    <w:rsid w:val="009E4400"/>
    <w:rsid w:val="009E4C62"/>
    <w:rsid w:val="009E5971"/>
    <w:rsid w:val="009E783F"/>
    <w:rsid w:val="009F0857"/>
    <w:rsid w:val="009F3192"/>
    <w:rsid w:val="009F4066"/>
    <w:rsid w:val="009F7155"/>
    <w:rsid w:val="009F71CE"/>
    <w:rsid w:val="00A06498"/>
    <w:rsid w:val="00A10F35"/>
    <w:rsid w:val="00A11EC7"/>
    <w:rsid w:val="00A17998"/>
    <w:rsid w:val="00A2641E"/>
    <w:rsid w:val="00A3071F"/>
    <w:rsid w:val="00A31A3D"/>
    <w:rsid w:val="00A32003"/>
    <w:rsid w:val="00A33621"/>
    <w:rsid w:val="00A34096"/>
    <w:rsid w:val="00A35A0A"/>
    <w:rsid w:val="00A35AC0"/>
    <w:rsid w:val="00A36D8D"/>
    <w:rsid w:val="00A41E04"/>
    <w:rsid w:val="00A43E3C"/>
    <w:rsid w:val="00A45900"/>
    <w:rsid w:val="00A45F9B"/>
    <w:rsid w:val="00A4797E"/>
    <w:rsid w:val="00A50C23"/>
    <w:rsid w:val="00A533EF"/>
    <w:rsid w:val="00A55D0C"/>
    <w:rsid w:val="00A6145A"/>
    <w:rsid w:val="00A6229C"/>
    <w:rsid w:val="00A63B7B"/>
    <w:rsid w:val="00A64932"/>
    <w:rsid w:val="00A65584"/>
    <w:rsid w:val="00A6590A"/>
    <w:rsid w:val="00A66797"/>
    <w:rsid w:val="00A75C8B"/>
    <w:rsid w:val="00A76880"/>
    <w:rsid w:val="00A76AB2"/>
    <w:rsid w:val="00A833A1"/>
    <w:rsid w:val="00A847EF"/>
    <w:rsid w:val="00A86803"/>
    <w:rsid w:val="00A868D1"/>
    <w:rsid w:val="00A94FB6"/>
    <w:rsid w:val="00AA2731"/>
    <w:rsid w:val="00AA4917"/>
    <w:rsid w:val="00AB06FB"/>
    <w:rsid w:val="00AB58AB"/>
    <w:rsid w:val="00AC5A33"/>
    <w:rsid w:val="00AD05E3"/>
    <w:rsid w:val="00AD1451"/>
    <w:rsid w:val="00AD1701"/>
    <w:rsid w:val="00AD49C3"/>
    <w:rsid w:val="00AE02C9"/>
    <w:rsid w:val="00AE6C06"/>
    <w:rsid w:val="00AF2E3F"/>
    <w:rsid w:val="00AF6DF2"/>
    <w:rsid w:val="00B027CF"/>
    <w:rsid w:val="00B03BB8"/>
    <w:rsid w:val="00B06B21"/>
    <w:rsid w:val="00B07082"/>
    <w:rsid w:val="00B14F4C"/>
    <w:rsid w:val="00B15775"/>
    <w:rsid w:val="00B20105"/>
    <w:rsid w:val="00B21577"/>
    <w:rsid w:val="00B22E74"/>
    <w:rsid w:val="00B23B5A"/>
    <w:rsid w:val="00B24308"/>
    <w:rsid w:val="00B27BB1"/>
    <w:rsid w:val="00B30486"/>
    <w:rsid w:val="00B3158E"/>
    <w:rsid w:val="00B34D28"/>
    <w:rsid w:val="00B35704"/>
    <w:rsid w:val="00B35DCB"/>
    <w:rsid w:val="00B363E5"/>
    <w:rsid w:val="00B366F5"/>
    <w:rsid w:val="00B37A90"/>
    <w:rsid w:val="00B37C06"/>
    <w:rsid w:val="00B4517C"/>
    <w:rsid w:val="00B45C46"/>
    <w:rsid w:val="00B53426"/>
    <w:rsid w:val="00B5420D"/>
    <w:rsid w:val="00B55651"/>
    <w:rsid w:val="00B5689F"/>
    <w:rsid w:val="00B62ED4"/>
    <w:rsid w:val="00B64B98"/>
    <w:rsid w:val="00B6720E"/>
    <w:rsid w:val="00B70BEC"/>
    <w:rsid w:val="00B73650"/>
    <w:rsid w:val="00B74A46"/>
    <w:rsid w:val="00B74EF3"/>
    <w:rsid w:val="00B77341"/>
    <w:rsid w:val="00B80BE1"/>
    <w:rsid w:val="00B82609"/>
    <w:rsid w:val="00B83297"/>
    <w:rsid w:val="00B86509"/>
    <w:rsid w:val="00B86600"/>
    <w:rsid w:val="00B875C5"/>
    <w:rsid w:val="00B90A63"/>
    <w:rsid w:val="00B923F5"/>
    <w:rsid w:val="00B9596F"/>
    <w:rsid w:val="00BA108B"/>
    <w:rsid w:val="00BA15D4"/>
    <w:rsid w:val="00BB0B4D"/>
    <w:rsid w:val="00BB1687"/>
    <w:rsid w:val="00BB33A3"/>
    <w:rsid w:val="00BB6791"/>
    <w:rsid w:val="00BB7B81"/>
    <w:rsid w:val="00BB7F4F"/>
    <w:rsid w:val="00BC0EFF"/>
    <w:rsid w:val="00BC2905"/>
    <w:rsid w:val="00BC2B3F"/>
    <w:rsid w:val="00BC3814"/>
    <w:rsid w:val="00BC4609"/>
    <w:rsid w:val="00BC64F7"/>
    <w:rsid w:val="00BD15DD"/>
    <w:rsid w:val="00BD4803"/>
    <w:rsid w:val="00BD5AC7"/>
    <w:rsid w:val="00BD5B29"/>
    <w:rsid w:val="00BD6058"/>
    <w:rsid w:val="00BD66AA"/>
    <w:rsid w:val="00BE0C28"/>
    <w:rsid w:val="00BE105A"/>
    <w:rsid w:val="00BE56E9"/>
    <w:rsid w:val="00BF41F6"/>
    <w:rsid w:val="00BF4956"/>
    <w:rsid w:val="00BF5B1F"/>
    <w:rsid w:val="00BF6435"/>
    <w:rsid w:val="00C03DEF"/>
    <w:rsid w:val="00C060FB"/>
    <w:rsid w:val="00C07A7C"/>
    <w:rsid w:val="00C11503"/>
    <w:rsid w:val="00C1587D"/>
    <w:rsid w:val="00C22652"/>
    <w:rsid w:val="00C23727"/>
    <w:rsid w:val="00C23BC3"/>
    <w:rsid w:val="00C26EF5"/>
    <w:rsid w:val="00C27A7A"/>
    <w:rsid w:val="00C3134B"/>
    <w:rsid w:val="00C33B3F"/>
    <w:rsid w:val="00C33C04"/>
    <w:rsid w:val="00C36593"/>
    <w:rsid w:val="00C400E2"/>
    <w:rsid w:val="00C437D4"/>
    <w:rsid w:val="00C43A19"/>
    <w:rsid w:val="00C4456F"/>
    <w:rsid w:val="00C52159"/>
    <w:rsid w:val="00C5288C"/>
    <w:rsid w:val="00C52E5A"/>
    <w:rsid w:val="00C53418"/>
    <w:rsid w:val="00C53CBA"/>
    <w:rsid w:val="00C55E41"/>
    <w:rsid w:val="00C56217"/>
    <w:rsid w:val="00C6217E"/>
    <w:rsid w:val="00C62A40"/>
    <w:rsid w:val="00C64857"/>
    <w:rsid w:val="00C64EB6"/>
    <w:rsid w:val="00C651FA"/>
    <w:rsid w:val="00C66A29"/>
    <w:rsid w:val="00C71ED2"/>
    <w:rsid w:val="00C73C00"/>
    <w:rsid w:val="00C745D8"/>
    <w:rsid w:val="00C83B77"/>
    <w:rsid w:val="00C936C0"/>
    <w:rsid w:val="00C9498D"/>
    <w:rsid w:val="00C96FE3"/>
    <w:rsid w:val="00CA0208"/>
    <w:rsid w:val="00CA0DB9"/>
    <w:rsid w:val="00CA6287"/>
    <w:rsid w:val="00CA6E23"/>
    <w:rsid w:val="00CA724B"/>
    <w:rsid w:val="00CB062F"/>
    <w:rsid w:val="00CB1ABF"/>
    <w:rsid w:val="00CB46FF"/>
    <w:rsid w:val="00CB667B"/>
    <w:rsid w:val="00CC0199"/>
    <w:rsid w:val="00CC1238"/>
    <w:rsid w:val="00CD7041"/>
    <w:rsid w:val="00CD70A7"/>
    <w:rsid w:val="00CE001C"/>
    <w:rsid w:val="00CE027F"/>
    <w:rsid w:val="00CE2E5E"/>
    <w:rsid w:val="00CE4172"/>
    <w:rsid w:val="00CE535A"/>
    <w:rsid w:val="00CE7C45"/>
    <w:rsid w:val="00CF332B"/>
    <w:rsid w:val="00CF633C"/>
    <w:rsid w:val="00CF6AA0"/>
    <w:rsid w:val="00CF7892"/>
    <w:rsid w:val="00CF7E83"/>
    <w:rsid w:val="00D01A47"/>
    <w:rsid w:val="00D04663"/>
    <w:rsid w:val="00D060C6"/>
    <w:rsid w:val="00D06D06"/>
    <w:rsid w:val="00D079E7"/>
    <w:rsid w:val="00D07B58"/>
    <w:rsid w:val="00D12539"/>
    <w:rsid w:val="00D139D8"/>
    <w:rsid w:val="00D24961"/>
    <w:rsid w:val="00D277B8"/>
    <w:rsid w:val="00D30507"/>
    <w:rsid w:val="00D310EE"/>
    <w:rsid w:val="00D3261B"/>
    <w:rsid w:val="00D32860"/>
    <w:rsid w:val="00D32C52"/>
    <w:rsid w:val="00D36B01"/>
    <w:rsid w:val="00D42189"/>
    <w:rsid w:val="00D431DD"/>
    <w:rsid w:val="00D45005"/>
    <w:rsid w:val="00D46351"/>
    <w:rsid w:val="00D50C14"/>
    <w:rsid w:val="00D51AA7"/>
    <w:rsid w:val="00D60B19"/>
    <w:rsid w:val="00D630B4"/>
    <w:rsid w:val="00D6334A"/>
    <w:rsid w:val="00D637F9"/>
    <w:rsid w:val="00D63A86"/>
    <w:rsid w:val="00D6764D"/>
    <w:rsid w:val="00D676ED"/>
    <w:rsid w:val="00D70FA1"/>
    <w:rsid w:val="00D7288D"/>
    <w:rsid w:val="00D757F0"/>
    <w:rsid w:val="00D76DEA"/>
    <w:rsid w:val="00D81C26"/>
    <w:rsid w:val="00D85AF3"/>
    <w:rsid w:val="00D873D7"/>
    <w:rsid w:val="00D9306C"/>
    <w:rsid w:val="00D93349"/>
    <w:rsid w:val="00D9627A"/>
    <w:rsid w:val="00D96F10"/>
    <w:rsid w:val="00D971D9"/>
    <w:rsid w:val="00DA346F"/>
    <w:rsid w:val="00DA72DC"/>
    <w:rsid w:val="00DB0BAF"/>
    <w:rsid w:val="00DB1054"/>
    <w:rsid w:val="00DB15E5"/>
    <w:rsid w:val="00DB395C"/>
    <w:rsid w:val="00DB3A21"/>
    <w:rsid w:val="00DB5CBA"/>
    <w:rsid w:val="00DB7704"/>
    <w:rsid w:val="00DC3327"/>
    <w:rsid w:val="00DC4E70"/>
    <w:rsid w:val="00DC65E5"/>
    <w:rsid w:val="00DC7C95"/>
    <w:rsid w:val="00DC7FC4"/>
    <w:rsid w:val="00DD0B00"/>
    <w:rsid w:val="00DD23EE"/>
    <w:rsid w:val="00DD4D5F"/>
    <w:rsid w:val="00DD588E"/>
    <w:rsid w:val="00DD58D6"/>
    <w:rsid w:val="00DE0C94"/>
    <w:rsid w:val="00DE18F7"/>
    <w:rsid w:val="00DE232E"/>
    <w:rsid w:val="00DE2A85"/>
    <w:rsid w:val="00DE2AA7"/>
    <w:rsid w:val="00DE50AA"/>
    <w:rsid w:val="00DE7894"/>
    <w:rsid w:val="00DF4F65"/>
    <w:rsid w:val="00DF605E"/>
    <w:rsid w:val="00DF76E2"/>
    <w:rsid w:val="00E011B3"/>
    <w:rsid w:val="00E02E93"/>
    <w:rsid w:val="00E04F19"/>
    <w:rsid w:val="00E11082"/>
    <w:rsid w:val="00E139FA"/>
    <w:rsid w:val="00E16C5A"/>
    <w:rsid w:val="00E21945"/>
    <w:rsid w:val="00E2679B"/>
    <w:rsid w:val="00E2698A"/>
    <w:rsid w:val="00E30B25"/>
    <w:rsid w:val="00E317EB"/>
    <w:rsid w:val="00E3223D"/>
    <w:rsid w:val="00E32BC6"/>
    <w:rsid w:val="00E33F9D"/>
    <w:rsid w:val="00E35F36"/>
    <w:rsid w:val="00E412B0"/>
    <w:rsid w:val="00E415AC"/>
    <w:rsid w:val="00E41920"/>
    <w:rsid w:val="00E42A0E"/>
    <w:rsid w:val="00E46186"/>
    <w:rsid w:val="00E61881"/>
    <w:rsid w:val="00E66A94"/>
    <w:rsid w:val="00E66FAC"/>
    <w:rsid w:val="00E71083"/>
    <w:rsid w:val="00E7142C"/>
    <w:rsid w:val="00E72AF4"/>
    <w:rsid w:val="00E81CD7"/>
    <w:rsid w:val="00E848A5"/>
    <w:rsid w:val="00E8789D"/>
    <w:rsid w:val="00E9292C"/>
    <w:rsid w:val="00E92D2A"/>
    <w:rsid w:val="00E96414"/>
    <w:rsid w:val="00E96677"/>
    <w:rsid w:val="00E96AAD"/>
    <w:rsid w:val="00E96F8D"/>
    <w:rsid w:val="00E97FBC"/>
    <w:rsid w:val="00EA06A2"/>
    <w:rsid w:val="00EA2594"/>
    <w:rsid w:val="00EA2C29"/>
    <w:rsid w:val="00EA3768"/>
    <w:rsid w:val="00EA4E44"/>
    <w:rsid w:val="00EA54EB"/>
    <w:rsid w:val="00EA570C"/>
    <w:rsid w:val="00EA69BD"/>
    <w:rsid w:val="00EA7AC4"/>
    <w:rsid w:val="00EB0687"/>
    <w:rsid w:val="00EB3124"/>
    <w:rsid w:val="00EB3B21"/>
    <w:rsid w:val="00EB5B45"/>
    <w:rsid w:val="00EB6305"/>
    <w:rsid w:val="00EB638F"/>
    <w:rsid w:val="00EC362A"/>
    <w:rsid w:val="00ED1570"/>
    <w:rsid w:val="00ED3773"/>
    <w:rsid w:val="00ED3D66"/>
    <w:rsid w:val="00ED648E"/>
    <w:rsid w:val="00EE3C92"/>
    <w:rsid w:val="00EE458C"/>
    <w:rsid w:val="00EE4F75"/>
    <w:rsid w:val="00EE5126"/>
    <w:rsid w:val="00EE585A"/>
    <w:rsid w:val="00EE609E"/>
    <w:rsid w:val="00EF00D1"/>
    <w:rsid w:val="00EF0C27"/>
    <w:rsid w:val="00EF1C19"/>
    <w:rsid w:val="00EF4D2B"/>
    <w:rsid w:val="00F03496"/>
    <w:rsid w:val="00F06A8B"/>
    <w:rsid w:val="00F06D97"/>
    <w:rsid w:val="00F0711D"/>
    <w:rsid w:val="00F10089"/>
    <w:rsid w:val="00F10A29"/>
    <w:rsid w:val="00F12356"/>
    <w:rsid w:val="00F15D4E"/>
    <w:rsid w:val="00F206D8"/>
    <w:rsid w:val="00F20742"/>
    <w:rsid w:val="00F21687"/>
    <w:rsid w:val="00F24937"/>
    <w:rsid w:val="00F25BDD"/>
    <w:rsid w:val="00F31CA2"/>
    <w:rsid w:val="00F32610"/>
    <w:rsid w:val="00F349B1"/>
    <w:rsid w:val="00F36429"/>
    <w:rsid w:val="00F37F63"/>
    <w:rsid w:val="00F37FB7"/>
    <w:rsid w:val="00F37FE6"/>
    <w:rsid w:val="00F405B8"/>
    <w:rsid w:val="00F40831"/>
    <w:rsid w:val="00F40C92"/>
    <w:rsid w:val="00F41533"/>
    <w:rsid w:val="00F422BC"/>
    <w:rsid w:val="00F43F4B"/>
    <w:rsid w:val="00F45E99"/>
    <w:rsid w:val="00F46AF8"/>
    <w:rsid w:val="00F5398D"/>
    <w:rsid w:val="00F56D6F"/>
    <w:rsid w:val="00F5778D"/>
    <w:rsid w:val="00F61D03"/>
    <w:rsid w:val="00F67698"/>
    <w:rsid w:val="00F70072"/>
    <w:rsid w:val="00F715DC"/>
    <w:rsid w:val="00F751A4"/>
    <w:rsid w:val="00F766EB"/>
    <w:rsid w:val="00F77254"/>
    <w:rsid w:val="00F80AD7"/>
    <w:rsid w:val="00F81B8C"/>
    <w:rsid w:val="00F81DD2"/>
    <w:rsid w:val="00F838A6"/>
    <w:rsid w:val="00F8664B"/>
    <w:rsid w:val="00F907B7"/>
    <w:rsid w:val="00F90DB3"/>
    <w:rsid w:val="00F9196A"/>
    <w:rsid w:val="00F92650"/>
    <w:rsid w:val="00F92B0B"/>
    <w:rsid w:val="00F93BDD"/>
    <w:rsid w:val="00F941F5"/>
    <w:rsid w:val="00F94BDA"/>
    <w:rsid w:val="00F9549F"/>
    <w:rsid w:val="00F95F5C"/>
    <w:rsid w:val="00F96560"/>
    <w:rsid w:val="00F967B1"/>
    <w:rsid w:val="00F97B7B"/>
    <w:rsid w:val="00FA2E15"/>
    <w:rsid w:val="00FA2F6E"/>
    <w:rsid w:val="00FB083B"/>
    <w:rsid w:val="00FB0A52"/>
    <w:rsid w:val="00FB1C5D"/>
    <w:rsid w:val="00FB1EDF"/>
    <w:rsid w:val="00FB6CCB"/>
    <w:rsid w:val="00FB7427"/>
    <w:rsid w:val="00FC18F3"/>
    <w:rsid w:val="00FC37E7"/>
    <w:rsid w:val="00FD120A"/>
    <w:rsid w:val="00FD14CB"/>
    <w:rsid w:val="00FD691A"/>
    <w:rsid w:val="00FD6FAA"/>
    <w:rsid w:val="00FD7131"/>
    <w:rsid w:val="00FE029D"/>
    <w:rsid w:val="00FE16AA"/>
    <w:rsid w:val="00FE62F9"/>
    <w:rsid w:val="00FE678F"/>
    <w:rsid w:val="00FE67F9"/>
    <w:rsid w:val="00FE6B50"/>
    <w:rsid w:val="00FE6E83"/>
    <w:rsid w:val="00FF02FF"/>
    <w:rsid w:val="00FF1B47"/>
    <w:rsid w:val="00FF3046"/>
    <w:rsid w:val="00FF4CDF"/>
    <w:rsid w:val="00FF75CC"/>
    <w:rsid w:val="01C113F5"/>
    <w:rsid w:val="03139749"/>
    <w:rsid w:val="04A18286"/>
    <w:rsid w:val="0E2801D3"/>
    <w:rsid w:val="108B92C9"/>
    <w:rsid w:val="10A0B033"/>
    <w:rsid w:val="1F1C1F45"/>
    <w:rsid w:val="354EE844"/>
    <w:rsid w:val="3D87F4C5"/>
    <w:rsid w:val="4EAF966B"/>
    <w:rsid w:val="537A9B19"/>
    <w:rsid w:val="5CFBFD29"/>
    <w:rsid w:val="5D946A9E"/>
    <w:rsid w:val="6033B996"/>
    <w:rsid w:val="607EE5EB"/>
    <w:rsid w:val="66B58ABC"/>
    <w:rsid w:val="699FD3AD"/>
    <w:rsid w:val="6C51C426"/>
    <w:rsid w:val="7C0D874A"/>
    <w:rsid w:val="7FC4C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6F4"/>
  <w15:docId w15:val="{3DAFA3C1-2BAC-4957-A3DD-BEF7DD1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9BD"/>
    <w:pPr>
      <w:spacing w:after="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59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59BD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59BD"/>
    <w:pPr>
      <w:numPr>
        <w:ilvl w:val="6"/>
        <w:numId w:val="31"/>
      </w:numPr>
      <w:spacing w:before="120" w:after="120" w:line="240" w:lineRule="auto"/>
      <w:outlineLvl w:val="6"/>
    </w:pPr>
    <w:rPr>
      <w:rFonts w:eastAsia="Times New Roman" w:cs="Times New Roman"/>
      <w:b/>
      <w:vanish/>
      <w:color w:val="FF000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59BD"/>
    <w:pPr>
      <w:numPr>
        <w:ilvl w:val="8"/>
        <w:numId w:val="31"/>
      </w:num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59BD"/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E59BD"/>
    <w:rPr>
      <w:rFonts w:ascii="Cambria" w:eastAsia="Times New Roman" w:hAnsi="Cambria"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E59BD"/>
    <w:rPr>
      <w:rFonts w:ascii="Arial" w:eastAsia="Times New Roman" w:hAnsi="Arial"/>
      <w:b/>
      <w:vanish/>
      <w:color w:val="FF0000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7E59BD"/>
    <w:rPr>
      <w:rFonts w:ascii="Cambria" w:eastAsia="Times New Roman" w:hAnsi="Cambria"/>
      <w:sz w:val="22"/>
      <w:szCs w:val="22"/>
      <w:lang w:eastAsia="ar-SA"/>
    </w:rPr>
  </w:style>
  <w:style w:type="character" w:styleId="Pogrubienie">
    <w:name w:val="Strong"/>
    <w:uiPriority w:val="99"/>
    <w:qFormat/>
    <w:rsid w:val="007E59BD"/>
    <w:rPr>
      <w:rFonts w:cs="Times New Roman"/>
      <w:b/>
      <w:bCs/>
    </w:rPr>
  </w:style>
  <w:style w:type="paragraph" w:customStyle="1" w:styleId="Znak1">
    <w:name w:val="Znak1"/>
    <w:basedOn w:val="Normalny"/>
    <w:uiPriority w:val="99"/>
    <w:rsid w:val="007E59BD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E59BD"/>
    <w:pPr>
      <w:spacing w:after="200" w:line="276" w:lineRule="auto"/>
      <w:ind w:left="720"/>
      <w:jc w:val="left"/>
    </w:pPr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59B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BD"/>
    <w:rPr>
      <w:rFonts w:ascii="Tahoma" w:hAnsi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E59B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E59BD"/>
    <w:rPr>
      <w:rFonts w:ascii="Arial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59B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59BD"/>
    <w:rPr>
      <w:rFonts w:ascii="Arial" w:hAnsi="Arial"/>
      <w:sz w:val="20"/>
      <w:szCs w:val="20"/>
      <w:lang w:eastAsia="pl-PL"/>
    </w:rPr>
  </w:style>
  <w:style w:type="character" w:styleId="Odwoaniedokomentarza">
    <w:name w:val="annotation reference"/>
    <w:rsid w:val="007E59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59B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9BD"/>
    <w:rPr>
      <w:rFonts w:ascii="Arial" w:hAnsi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BD"/>
    <w:rPr>
      <w:rFonts w:ascii="Arial" w:hAnsi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59BD"/>
    <w:rPr>
      <w:b/>
      <w:bCs/>
    </w:rPr>
  </w:style>
  <w:style w:type="character" w:customStyle="1" w:styleId="lmenustartend">
    <w:name w:val="lmenustartend"/>
    <w:uiPriority w:val="99"/>
    <w:rsid w:val="007E59BD"/>
  </w:style>
  <w:style w:type="character" w:customStyle="1" w:styleId="oznaczenie">
    <w:name w:val="oznaczenie"/>
    <w:uiPriority w:val="99"/>
    <w:rsid w:val="007E59BD"/>
  </w:style>
  <w:style w:type="character" w:customStyle="1" w:styleId="FontStyle42">
    <w:name w:val="Font Style42"/>
    <w:uiPriority w:val="99"/>
    <w:rsid w:val="007E59BD"/>
    <w:rPr>
      <w:rFonts w:ascii="Verdana" w:hAnsi="Verdana" w:cs="Verdana"/>
      <w:sz w:val="16"/>
      <w:szCs w:val="16"/>
    </w:rPr>
  </w:style>
  <w:style w:type="character" w:customStyle="1" w:styleId="FontStyle46">
    <w:name w:val="Font Style46"/>
    <w:uiPriority w:val="99"/>
    <w:rsid w:val="007E59BD"/>
    <w:rPr>
      <w:rFonts w:ascii="Verdana" w:hAnsi="Verdana" w:cs="Verdana"/>
      <w:b/>
      <w:bCs/>
      <w:sz w:val="16"/>
      <w:szCs w:val="16"/>
    </w:rPr>
  </w:style>
  <w:style w:type="paragraph" w:customStyle="1" w:styleId="Style15">
    <w:name w:val="Style15"/>
    <w:basedOn w:val="Normalny"/>
    <w:uiPriority w:val="99"/>
    <w:rsid w:val="007E59BD"/>
    <w:pPr>
      <w:widowControl w:val="0"/>
      <w:suppressAutoHyphens/>
      <w:autoSpaceDE w:val="0"/>
      <w:spacing w:line="242" w:lineRule="exact"/>
      <w:ind w:hanging="410"/>
    </w:pPr>
    <w:rPr>
      <w:rFonts w:ascii="MS Reference Sans Serif" w:hAnsi="MS Reference Sans Serif" w:cs="MS Reference Sans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7E59BD"/>
    <w:pPr>
      <w:suppressAutoHyphens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E59BD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9BD"/>
    <w:rPr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7E59BD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7E59BD"/>
    <w:pPr>
      <w:spacing w:after="200" w:line="276" w:lineRule="auto"/>
      <w:ind w:left="720"/>
      <w:contextualSpacing/>
      <w:jc w:val="left"/>
    </w:pPr>
    <w:rPr>
      <w:rFonts w:ascii="Calibri" w:hAnsi="Calibri" w:cs="Times New Roman"/>
      <w:lang w:eastAsia="en-US"/>
    </w:rPr>
  </w:style>
  <w:style w:type="character" w:customStyle="1" w:styleId="h2">
    <w:name w:val="h2"/>
    <w:basedOn w:val="Domylnaczcionkaakapitu"/>
    <w:uiPriority w:val="99"/>
    <w:rsid w:val="007E59BD"/>
  </w:style>
  <w:style w:type="character" w:customStyle="1" w:styleId="h1">
    <w:name w:val="h1"/>
    <w:basedOn w:val="Domylnaczcionkaakapitu"/>
    <w:uiPriority w:val="99"/>
    <w:rsid w:val="007E59BD"/>
  </w:style>
  <w:style w:type="paragraph" w:customStyle="1" w:styleId="Tekstpodstawowy31">
    <w:name w:val="Tekst podstawowy 31"/>
    <w:basedOn w:val="Normalny"/>
    <w:uiPriority w:val="99"/>
    <w:rsid w:val="007E59BD"/>
    <w:pPr>
      <w:widowControl w:val="0"/>
      <w:suppressAutoHyphens/>
      <w:autoSpaceDE w:val="0"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Styl1">
    <w:name w:val="Styl1"/>
    <w:basedOn w:val="Normalny"/>
    <w:uiPriority w:val="99"/>
    <w:rsid w:val="007E59BD"/>
    <w:pPr>
      <w:widowControl w:val="0"/>
      <w:autoSpaceDE w:val="0"/>
      <w:autoSpaceDN w:val="0"/>
      <w:spacing w:before="24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7E5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BD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59BD"/>
    <w:pPr>
      <w:spacing w:line="240" w:lineRule="auto"/>
    </w:pPr>
    <w:rPr>
      <w:sz w:val="20"/>
      <w:szCs w:val="20"/>
    </w:r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7E59BD"/>
    <w:pPr>
      <w:keepNext/>
      <w:keepLines/>
      <w:tabs>
        <w:tab w:val="num" w:pos="567"/>
      </w:tabs>
      <w:suppressAutoHyphens/>
      <w:spacing w:before="360" w:after="240" w:line="288" w:lineRule="auto"/>
      <w:ind w:left="567" w:hanging="567"/>
      <w:outlineLvl w:val="0"/>
    </w:pPr>
    <w:rPr>
      <w:rFonts w:eastAsia="Times New Roman" w:cs="Times New Roman"/>
      <w:b/>
      <w:caps/>
      <w:kern w:val="28"/>
      <w:szCs w:val="20"/>
      <w:lang w:eastAsia="en-US"/>
    </w:rPr>
  </w:style>
  <w:style w:type="paragraph" w:customStyle="1" w:styleId="DZPNaglowek2">
    <w:name w:val="DZPNaglowek 2"/>
    <w:basedOn w:val="Normalny"/>
    <w:next w:val="Normalny"/>
    <w:uiPriority w:val="99"/>
    <w:rsid w:val="007E59BD"/>
    <w:pPr>
      <w:tabs>
        <w:tab w:val="num" w:pos="567"/>
      </w:tabs>
      <w:suppressAutoHyphens/>
      <w:spacing w:before="240" w:after="120" w:line="288" w:lineRule="auto"/>
      <w:ind w:left="567" w:hanging="567"/>
      <w:outlineLvl w:val="1"/>
    </w:pPr>
    <w:rPr>
      <w:rFonts w:eastAsia="Times New Roman" w:cs="Times New Roman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7E59BD"/>
    <w:pPr>
      <w:tabs>
        <w:tab w:val="num" w:pos="1418"/>
      </w:tabs>
      <w:suppressAutoHyphens/>
      <w:spacing w:before="80" w:after="40" w:line="288" w:lineRule="auto"/>
      <w:ind w:left="1418" w:hanging="851"/>
      <w:outlineLvl w:val="2"/>
    </w:pPr>
    <w:rPr>
      <w:rFonts w:eastAsia="Times New Roman" w:cs="Times New Roman"/>
      <w:szCs w:val="20"/>
      <w:lang w:eastAsia="en-US"/>
    </w:rPr>
  </w:style>
  <w:style w:type="paragraph" w:customStyle="1" w:styleId="DZPNaglowek4">
    <w:name w:val="DZPNaglowek 4"/>
    <w:basedOn w:val="Normalny"/>
    <w:next w:val="Normalny"/>
    <w:autoRedefine/>
    <w:uiPriority w:val="99"/>
    <w:rsid w:val="007E59BD"/>
    <w:pPr>
      <w:tabs>
        <w:tab w:val="num" w:pos="1418"/>
      </w:tabs>
      <w:spacing w:line="288" w:lineRule="auto"/>
      <w:ind w:left="1418" w:hanging="851"/>
      <w:outlineLvl w:val="3"/>
    </w:pPr>
    <w:rPr>
      <w:rFonts w:eastAsia="Times New Roman" w:cs="Times New Roman"/>
      <w:szCs w:val="20"/>
      <w:lang w:eastAsia="en-US"/>
    </w:rPr>
  </w:style>
  <w:style w:type="paragraph" w:customStyle="1" w:styleId="DZPNaglowek5">
    <w:name w:val="DZPNaglowek 5"/>
    <w:basedOn w:val="Normalny"/>
    <w:next w:val="Normalny"/>
    <w:autoRedefine/>
    <w:uiPriority w:val="99"/>
    <w:rsid w:val="007E59BD"/>
    <w:pPr>
      <w:tabs>
        <w:tab w:val="num" w:pos="2268"/>
      </w:tabs>
      <w:spacing w:before="40" w:after="80" w:line="288" w:lineRule="auto"/>
      <w:ind w:left="2268" w:hanging="850"/>
    </w:pPr>
    <w:rPr>
      <w:rFonts w:eastAsia="Times New Roman" w:cs="Times New Roman"/>
      <w:szCs w:val="20"/>
      <w:lang w:eastAsia="en-US"/>
    </w:rPr>
  </w:style>
  <w:style w:type="paragraph" w:customStyle="1" w:styleId="DZPNaglowek6">
    <w:name w:val="DZPNaglowek 6"/>
    <w:basedOn w:val="Normalny"/>
    <w:next w:val="Normalny"/>
    <w:autoRedefine/>
    <w:uiPriority w:val="99"/>
    <w:rsid w:val="007E59BD"/>
    <w:pPr>
      <w:tabs>
        <w:tab w:val="num" w:pos="2835"/>
      </w:tabs>
      <w:spacing w:before="40" w:after="80" w:line="288" w:lineRule="auto"/>
      <w:ind w:left="2835" w:hanging="567"/>
    </w:pPr>
    <w:rPr>
      <w:rFonts w:eastAsia="Times New Roman" w:cs="Times New Roman"/>
      <w:szCs w:val="20"/>
      <w:lang w:eastAsia="en-US"/>
    </w:rPr>
  </w:style>
  <w:style w:type="character" w:customStyle="1" w:styleId="articletitle">
    <w:name w:val="articletitle"/>
    <w:basedOn w:val="Domylnaczcionkaakapitu"/>
    <w:uiPriority w:val="99"/>
    <w:rsid w:val="007E59BD"/>
  </w:style>
  <w:style w:type="character" w:customStyle="1" w:styleId="st">
    <w:name w:val="st"/>
    <w:basedOn w:val="Domylnaczcionkaakapitu"/>
    <w:uiPriority w:val="99"/>
    <w:rsid w:val="007E59BD"/>
  </w:style>
  <w:style w:type="character" w:styleId="Uwydatnienie">
    <w:name w:val="Emphasis"/>
    <w:basedOn w:val="Domylnaczcionkaakapitu"/>
    <w:uiPriority w:val="99"/>
    <w:qFormat/>
    <w:rsid w:val="007E59BD"/>
    <w:rPr>
      <w:i/>
      <w:iCs/>
    </w:rPr>
  </w:style>
  <w:style w:type="paragraph" w:customStyle="1" w:styleId="Ustp">
    <w:name w:val="Ustęp"/>
    <w:basedOn w:val="Normalny"/>
    <w:uiPriority w:val="99"/>
    <w:rsid w:val="007E59BD"/>
    <w:pPr>
      <w:tabs>
        <w:tab w:val="num" w:pos="360"/>
      </w:tabs>
      <w:spacing w:before="120" w:after="120" w:line="240" w:lineRule="auto"/>
      <w:ind w:left="360" w:hanging="360"/>
    </w:pPr>
    <w:rPr>
      <w:rFonts w:ascii="Calibri" w:eastAsia="Times New Roman" w:hAnsi="Calibri" w:cs="Times New Roman"/>
      <w:szCs w:val="28"/>
    </w:rPr>
  </w:style>
  <w:style w:type="paragraph" w:customStyle="1" w:styleId="CalibriNormalny">
    <w:name w:val="Calibri Normalny"/>
    <w:basedOn w:val="Normalny"/>
    <w:link w:val="CalibriNormalnyZnak"/>
    <w:qFormat/>
    <w:rsid w:val="007E59BD"/>
    <w:pPr>
      <w:spacing w:line="240" w:lineRule="auto"/>
      <w:jc w:val="left"/>
    </w:pPr>
    <w:rPr>
      <w:rFonts w:ascii="Calibri" w:eastAsia="Times New Roman" w:hAnsi="Calibri" w:cs="Times New Roman"/>
      <w:sz w:val="24"/>
      <w:lang w:eastAsia="en-US"/>
    </w:rPr>
  </w:style>
  <w:style w:type="character" w:customStyle="1" w:styleId="CalibriNormalnyZnak">
    <w:name w:val="Calibri Normalny Znak"/>
    <w:basedOn w:val="Domylnaczcionkaakapitu"/>
    <w:link w:val="CalibriNormalny"/>
    <w:rsid w:val="007E59BD"/>
    <w:rPr>
      <w:rFonts w:ascii="Calibri" w:eastAsia="Times New Roman" w:hAnsi="Calibri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7E59B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9BD"/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59BD"/>
    <w:pPr>
      <w:spacing w:line="276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E59B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E59BD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9BD"/>
    <w:rPr>
      <w:vertAlign w:val="superscript"/>
    </w:rPr>
  </w:style>
  <w:style w:type="paragraph" w:customStyle="1" w:styleId="Style5">
    <w:name w:val="Style5"/>
    <w:basedOn w:val="Normalny"/>
    <w:uiPriority w:val="99"/>
    <w:rsid w:val="007E59BD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E59BD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E59BD"/>
    <w:rPr>
      <w:rFonts w:ascii="Calibri" w:hAnsi="Calibri" w:cs="Calibri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7E59BD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">
    <w:name w:val="Style2"/>
    <w:basedOn w:val="Normalny"/>
    <w:uiPriority w:val="99"/>
    <w:rsid w:val="007E59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theme="minorBidi"/>
      <w:sz w:val="24"/>
      <w:szCs w:val="24"/>
    </w:rPr>
  </w:style>
  <w:style w:type="character" w:customStyle="1" w:styleId="DeltaViewDeletion">
    <w:name w:val="DeltaView Deletion"/>
    <w:uiPriority w:val="99"/>
    <w:rsid w:val="007E59BD"/>
    <w:rPr>
      <w:strike/>
      <w:color w:val="FF0000"/>
    </w:rPr>
  </w:style>
  <w:style w:type="paragraph" w:customStyle="1" w:styleId="Standardowy1">
    <w:name w:val="Standardowy1"/>
    <w:link w:val="Standardowy1Char"/>
    <w:rsid w:val="00C55E41"/>
    <w:pPr>
      <w:widowControl w:val="0"/>
      <w:spacing w:before="200" w:line="312" w:lineRule="auto"/>
      <w:jc w:val="both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Standardowy1Char">
    <w:name w:val="Standardowy1 Char"/>
    <w:link w:val="Standardowy1"/>
    <w:locked/>
    <w:rsid w:val="00C55E41"/>
    <w:rPr>
      <w:rFonts w:ascii="Arial" w:eastAsia="Times New Roman" w:hAnsi="Arial"/>
      <w:sz w:val="22"/>
      <w:szCs w:val="22"/>
      <w:lang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894"/>
    <w:rPr>
      <w:rFonts w:ascii="Arial" w:hAnsi="Arial" w:cs="Arial"/>
      <w:sz w:val="22"/>
      <w:szCs w:val="2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49B"/>
    <w:rPr>
      <w:vertAlign w:val="superscript"/>
    </w:rPr>
  </w:style>
  <w:style w:type="character" w:customStyle="1" w:styleId="TekstkomentarzaZnak2">
    <w:name w:val="Tekst komentarza Znak2"/>
    <w:uiPriority w:val="99"/>
    <w:semiHidden/>
    <w:rsid w:val="00FE6E83"/>
    <w:rPr>
      <w:rFonts w:ascii="Calibri" w:hAnsi="Calibri"/>
      <w:lang w:eastAsia="zh-CN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30779F"/>
    <w:rPr>
      <w:rFonts w:ascii="Calibri" w:hAnsi="Calibri"/>
      <w:sz w:val="22"/>
      <w:szCs w:val="22"/>
    </w:rPr>
  </w:style>
  <w:style w:type="paragraph" w:customStyle="1" w:styleId="CMSHeadL8">
    <w:name w:val="CMS Head L8"/>
    <w:basedOn w:val="Normalny"/>
    <w:rsid w:val="0030779F"/>
    <w:pPr>
      <w:tabs>
        <w:tab w:val="num" w:pos="1701"/>
        <w:tab w:val="num" w:pos="5649"/>
      </w:tabs>
      <w:spacing w:after="240" w:line="240" w:lineRule="auto"/>
      <w:ind w:left="1701" w:hanging="850"/>
      <w:outlineLvl w:val="7"/>
    </w:pPr>
    <w:rPr>
      <w:rFonts w:ascii="TiepoloItcTEEBoo" w:eastAsia="ArialNarrow" w:hAnsi="TiepoloItcTEEBoo" w:cs="TiepoloItcTEEBoo"/>
      <w:szCs w:val="24"/>
      <w:lang w:val="en-GB" w:eastAsia="en-US"/>
    </w:rPr>
  </w:style>
  <w:style w:type="paragraph" w:customStyle="1" w:styleId="CMSHeadL4">
    <w:name w:val="CMS Head L4"/>
    <w:basedOn w:val="Normalny"/>
    <w:rsid w:val="0030779F"/>
    <w:pPr>
      <w:tabs>
        <w:tab w:val="num" w:pos="2769"/>
      </w:tabs>
      <w:spacing w:after="240" w:line="240" w:lineRule="auto"/>
      <w:ind w:left="2769" w:hanging="360"/>
      <w:outlineLvl w:val="3"/>
    </w:pPr>
    <w:rPr>
      <w:rFonts w:ascii="TiepoloItcTEEBoo" w:eastAsia="ArialNarrow" w:hAnsi="TiepoloItcTEEBoo" w:cs="TiepoloItcTEEBoo"/>
      <w:szCs w:val="24"/>
      <w:lang w:val="en-GB" w:eastAsia="en-US"/>
    </w:rPr>
  </w:style>
  <w:style w:type="paragraph" w:customStyle="1" w:styleId="CMSHeadL3">
    <w:name w:val="CMS Head L3"/>
    <w:basedOn w:val="Normalny"/>
    <w:rsid w:val="0030779F"/>
    <w:pPr>
      <w:numPr>
        <w:ilvl w:val="2"/>
        <w:numId w:val="99"/>
      </w:numPr>
      <w:tabs>
        <w:tab w:val="num" w:pos="850"/>
      </w:tabs>
      <w:spacing w:after="240" w:line="240" w:lineRule="auto"/>
      <w:ind w:left="850" w:hanging="850"/>
      <w:outlineLvl w:val="2"/>
    </w:pPr>
    <w:rPr>
      <w:rFonts w:ascii="TiepoloItcTEEBoo" w:eastAsia="ArialNarrow" w:hAnsi="TiepoloItcTEEBoo" w:cs="TiepoloItcTEEBoo"/>
      <w:szCs w:val="24"/>
      <w:lang w:val="en-GB" w:eastAsia="en-US"/>
    </w:rPr>
  </w:style>
  <w:style w:type="paragraph" w:customStyle="1" w:styleId="CMSHeadL5">
    <w:name w:val="CMS Head L5"/>
    <w:basedOn w:val="Normalny"/>
    <w:rsid w:val="0030779F"/>
    <w:pPr>
      <w:numPr>
        <w:ilvl w:val="4"/>
        <w:numId w:val="99"/>
      </w:numPr>
      <w:spacing w:after="240" w:line="240" w:lineRule="auto"/>
      <w:outlineLvl w:val="4"/>
    </w:pPr>
    <w:rPr>
      <w:rFonts w:ascii="TiepoloItcTEEBoo" w:eastAsia="ArialNarrow" w:hAnsi="TiepoloItcTEEBoo" w:cs="TiepoloItcTEEBoo"/>
      <w:szCs w:val="24"/>
      <w:lang w:val="en-GB" w:eastAsia="en-US"/>
    </w:rPr>
  </w:style>
  <w:style w:type="paragraph" w:customStyle="1" w:styleId="CMSHeadL7">
    <w:name w:val="CMS Head L7"/>
    <w:basedOn w:val="Normalny"/>
    <w:rsid w:val="0030779F"/>
    <w:pPr>
      <w:numPr>
        <w:ilvl w:val="6"/>
        <w:numId w:val="99"/>
      </w:numPr>
      <w:spacing w:after="240" w:line="240" w:lineRule="auto"/>
      <w:ind w:left="851" w:firstLine="0"/>
      <w:outlineLvl w:val="6"/>
    </w:pPr>
    <w:rPr>
      <w:rFonts w:ascii="TiepoloItcTEEBoo" w:eastAsia="ArialNarrow" w:hAnsi="TiepoloItcTEEBoo" w:cs="TiepoloItcTEEBoo"/>
      <w:szCs w:val="24"/>
      <w:lang w:val="en-GB" w:eastAsia="en-US"/>
    </w:rPr>
  </w:style>
  <w:style w:type="paragraph" w:customStyle="1" w:styleId="StyleHeading1Kernat10pt">
    <w:name w:val="Style Heading 1 + Kern at 10 pt"/>
    <w:basedOn w:val="Nagwek1"/>
    <w:rsid w:val="0030779F"/>
    <w:pPr>
      <w:keepNext w:val="0"/>
      <w:tabs>
        <w:tab w:val="num" w:pos="360"/>
      </w:tabs>
      <w:suppressAutoHyphens/>
      <w:spacing w:before="0" w:line="288" w:lineRule="auto"/>
      <w:ind w:left="360" w:hanging="360"/>
    </w:pPr>
    <w:rPr>
      <w:rFonts w:ascii="MS Reference Sans Serif" w:eastAsia="TiepoloItcTEEBoo" w:hAnsi="MS Reference Sans Serif" w:cs="TiepoloItcTEEBoo"/>
      <w:b w:val="0"/>
      <w:color w:val="auto"/>
      <w:kern w:val="1"/>
      <w:sz w:val="23"/>
      <w:lang w:eastAsia="ar-SA"/>
    </w:rPr>
  </w:style>
  <w:style w:type="paragraph" w:styleId="Poprawka">
    <w:name w:val="Revision"/>
    <w:hidden/>
    <w:uiPriority w:val="99"/>
    <w:semiHidden/>
    <w:rsid w:val="003000A6"/>
    <w:pPr>
      <w:spacing w:after="0" w:line="240" w:lineRule="auto"/>
    </w:pPr>
    <w:rPr>
      <w:rFonts w:ascii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1C112A1F9BD4AA5847451619D2BBE" ma:contentTypeVersion="2" ma:contentTypeDescription="Create a new document." ma:contentTypeScope="" ma:versionID="b51127378a70acd81cf8b0fc7cbc1fea">
  <xsd:schema xmlns:xsd="http://www.w3.org/2001/XMLSchema" xmlns:xs="http://www.w3.org/2001/XMLSchema" xmlns:p="http://schemas.microsoft.com/office/2006/metadata/properties" xmlns:ns2="87037488-ec5d-4aba-84c2-9b1d22638e8e" xmlns:ns3="454beb2f-8d62-4baa-98bb-5d4a22065c7f" targetNamespace="http://schemas.microsoft.com/office/2006/metadata/properties" ma:root="true" ma:fieldsID="dd90019d040ac21f1f9eb00f49174e94" ns2:_="" ns3:_="">
    <xsd:import namespace="87037488-ec5d-4aba-84c2-9b1d22638e8e"/>
    <xsd:import namespace="454beb2f-8d62-4baa-98bb-5d4a22065c7f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cc36860-599d-41d8-b8b6-f868709a89df}" ma:internalName="TaxCatchAll" ma:showField="CatchAllData" ma:web="d689a54e-2b16-424d-92e6-f5a536aa4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cc36860-599d-41d8-b8b6-f868709a89df}" ma:internalName="TaxCatchAllLabel" ma:readOnly="true" ma:showField="CatchAllDataLabel" ma:web="d689a54e-2b16-424d-92e6-f5a536aa4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beb2f-8d62-4baa-98bb-5d4a22065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1DDC-1C99-4013-B238-ADABDF98C35C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2.xml><?xml version="1.0" encoding="utf-8"?>
<ds:datastoreItem xmlns:ds="http://schemas.openxmlformats.org/officeDocument/2006/customXml" ds:itemID="{154C4CE2-FD43-40E4-84C5-5D57BD0CB0F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B8AD85-6865-48CA-A6B2-2A9A5D8A2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454beb2f-8d62-4baa-98bb-5d4a22065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A6B60-9AB7-4665-8BAF-679A44E7DD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69D96C-2E61-47C7-AC37-0EB6DC47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Alicja</cp:lastModifiedBy>
  <cp:revision>2</cp:revision>
  <cp:lastPrinted>2020-04-27T14:06:00Z</cp:lastPrinted>
  <dcterms:created xsi:type="dcterms:W3CDTF">2020-05-06T15:17:00Z</dcterms:created>
  <dcterms:modified xsi:type="dcterms:W3CDTF">2020-05-06T15:17:00Z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0x0101006081C112A1F9BD4AA5847451619D2BBE</vt:lpwstr>
  </property>
  <property fmtid="{D5CDD505-2E9C-101B-9397-08002B2CF9AE}" pid="3" name="Security Classification">
    <vt:lpwstr/>
  </property>
</Properties>
</file>