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0120D0" w:rsidRDefault="0013478F" w:rsidP="000120D0">
      <w:pPr>
        <w:pStyle w:val="Nagwek1"/>
        <w:spacing w:before="0" w:after="120" w:line="276" w:lineRule="auto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0120D0">
        <w:rPr>
          <w:rFonts w:ascii="Arial" w:eastAsia="Times New Roman" w:hAnsi="Arial" w:cs="Arial"/>
          <w:b/>
          <w:bCs/>
          <w:color w:val="auto"/>
          <w:sz w:val="24"/>
          <w:szCs w:val="24"/>
        </w:rPr>
        <w:t>Uchwała Nr XXXI/261/2020</w:t>
      </w:r>
      <w:r w:rsidRPr="000120D0">
        <w:rPr>
          <w:rFonts w:ascii="Arial" w:eastAsia="Times New Roman" w:hAnsi="Arial" w:cs="Arial"/>
          <w:b/>
          <w:bCs/>
          <w:color w:val="auto"/>
          <w:sz w:val="24"/>
          <w:szCs w:val="24"/>
        </w:rPr>
        <w:br/>
        <w:t>Rady Gminy Kobylnica</w:t>
      </w:r>
      <w:r w:rsidR="000120D0" w:rsidRPr="000120D0">
        <w:rPr>
          <w:rFonts w:ascii="Arial" w:eastAsia="Times New Roman" w:hAnsi="Arial" w:cs="Arial"/>
          <w:b/>
          <w:bCs/>
          <w:color w:val="auto"/>
          <w:sz w:val="24"/>
          <w:szCs w:val="24"/>
        </w:rPr>
        <w:br/>
      </w:r>
      <w:r w:rsidRPr="000120D0">
        <w:rPr>
          <w:rFonts w:ascii="Arial" w:hAnsi="Arial" w:cs="Arial"/>
          <w:b/>
          <w:bCs/>
          <w:color w:val="auto"/>
          <w:sz w:val="24"/>
          <w:szCs w:val="24"/>
        </w:rPr>
        <w:t>z dnia 17 grudnia 2020 r.</w:t>
      </w:r>
    </w:p>
    <w:p w:rsidR="00BD5170" w:rsidRPr="00BD5170" w:rsidRDefault="0013478F" w:rsidP="000120D0">
      <w:pPr>
        <w:spacing w:after="120" w:line="276" w:lineRule="auto"/>
        <w:jc w:val="left"/>
        <w:rPr>
          <w:rFonts w:ascii="Arial" w:hAnsi="Arial" w:cs="Arial"/>
          <w:b/>
          <w:bCs/>
          <w:szCs w:val="22"/>
        </w:rPr>
      </w:pPr>
      <w:r w:rsidRPr="00BD5170">
        <w:rPr>
          <w:rFonts w:ascii="Arial" w:hAnsi="Arial" w:cs="Arial"/>
          <w:b/>
          <w:bCs/>
          <w:szCs w:val="22"/>
        </w:rPr>
        <w:t>w sprawie uchwalenia zmiany miejscowego planu zagospodarowania przestrzennego wsi Kwakowo dla obszaru obejmującego działki nr 119/1, 119/2, 119/3 i 120 obręb Kwakowo</w:t>
      </w:r>
    </w:p>
    <w:p w:rsidR="00A77B3E" w:rsidRPr="00BD5170" w:rsidRDefault="0013478F" w:rsidP="000120D0">
      <w:pPr>
        <w:spacing w:after="120" w:line="276" w:lineRule="auto"/>
        <w:jc w:val="left"/>
        <w:rPr>
          <w:rFonts w:ascii="Arial" w:hAnsi="Arial" w:cs="Arial"/>
          <w:szCs w:val="22"/>
        </w:rPr>
      </w:pPr>
      <w:r w:rsidRPr="00BD5170">
        <w:rPr>
          <w:rFonts w:ascii="Arial" w:hAnsi="Arial" w:cs="Arial"/>
          <w:szCs w:val="22"/>
        </w:rPr>
        <w:t>Na podstawie art. 18 ust. 2 pkt 5 i art. 40 ust. 1 ustawy z dnia 8 marca 1990 r. o samorządzie gminnym (j.t. Dz. U. z 2020 r. poz. 713 ze zm.) oraz art. 20 ust. 1 w związku z art. 27 ustawy z dnia 27 marca 2003 r. o planowaniu i zagospodarowaniu przestrzennym (j.t. Dz. U. z 2020 r. poz. 293 ze zm.)</w:t>
      </w:r>
    </w:p>
    <w:p w:rsidR="00A77B3E" w:rsidRPr="00BD5170" w:rsidRDefault="0013478F" w:rsidP="000120D0">
      <w:pPr>
        <w:spacing w:after="120" w:line="276" w:lineRule="auto"/>
        <w:jc w:val="left"/>
        <w:rPr>
          <w:rFonts w:ascii="Arial" w:hAnsi="Arial" w:cs="Arial"/>
          <w:szCs w:val="22"/>
        </w:rPr>
      </w:pPr>
      <w:r w:rsidRPr="00BD5170">
        <w:rPr>
          <w:rFonts w:ascii="Arial" w:hAnsi="Arial" w:cs="Arial"/>
          <w:szCs w:val="22"/>
        </w:rPr>
        <w:t>Rada Gminy Kobylnica uchwala, co następuje:</w:t>
      </w:r>
    </w:p>
    <w:p w:rsidR="00953D1F" w:rsidRDefault="00953D1F" w:rsidP="000120D0">
      <w:pPr>
        <w:spacing w:after="120" w:line="276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 1.</w:t>
      </w:r>
    </w:p>
    <w:p w:rsidR="00953D1F" w:rsidRDefault="0013478F" w:rsidP="000120D0">
      <w:pPr>
        <w:numPr>
          <w:ilvl w:val="0"/>
          <w:numId w:val="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szCs w:val="22"/>
        </w:rPr>
        <w:t>Stosownie do uchwały Nr VII/66/2019 Rady Gminy Kobylnica z dnia 28 marca 2019 r. w sprawie przystąpienia do sporządzenia zmiany miejscowego planu zagospodarowania przestrzennego wsi Kwakowo dla obszaru obejmującego działki nr 119/1, 119/2, 119/3 i 120 obręb Kwakowo, po stwierdzeniu, że zmiana planu miejscowego nie narusza ustaleń „Studium uwarunkowań i kierunków zagospodarowania przestrzennego gminy Kobylnica” uchwalonego uchwałą Nr III/25/2002 Rady Gminy Kobylnica z dnia 30 grudnia 2002 r., zmienionego uchwałami Nr XL/527/2010 Rady Gminy Kobylnica z dnia 16 lutego 2010 r., Nr XLIV/413/2014 Rady Gminy Kobylnica z dnia 6 lutego 2014 r. i Nr XXIV/203/2016 Rady Gminy Kobylnica z dnia 25 lutego 2016 r., uchwala się zmianę miejscowego planu zagospodarowania przestrzennego wsi Kwakowo dla obszaru obejmującego działki nr 119/1, 119/2, 119/3 i 120 obręb Kwakowo, zwaną dalej zmianą planu miejscowego w granicach, jak na rysunku zmiany planu miejscowego.</w:t>
      </w:r>
    </w:p>
    <w:p w:rsidR="00953D1F" w:rsidRDefault="0013478F" w:rsidP="000120D0">
      <w:pPr>
        <w:numPr>
          <w:ilvl w:val="0"/>
          <w:numId w:val="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Celem zmiany planu miejscowego, obejmującego obszar położony we wsi Kwakowo o powierzchni 0,23 ha, pomiędzy ulicami Słupską i Spacerową, jest korekta ustaleń miejscowego planu zagospodarowania przestrzennego wsi Kwakowo (uchwała Nr XLII/546/2010 Rady Gminy Kobylnica z dnia 27 kwietnia 2010 r.) dla części terenów 25U, 01KD-G i 03KD-L.</w:t>
      </w:r>
    </w:p>
    <w:p w:rsidR="00953D1F" w:rsidRDefault="0013478F" w:rsidP="000120D0">
      <w:pPr>
        <w:numPr>
          <w:ilvl w:val="0"/>
          <w:numId w:val="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W związku ze zmianą planu miejscowego, w granicach objętych zmianą, dokonuje się wyróżnienia:</w:t>
      </w:r>
    </w:p>
    <w:p w:rsidR="00953D1F" w:rsidRDefault="0013478F" w:rsidP="000120D0">
      <w:pPr>
        <w:numPr>
          <w:ilvl w:val="1"/>
          <w:numId w:val="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terenu oznaczonego jako 25zK z terenu oznaczonego jako 25U;</w:t>
      </w:r>
    </w:p>
    <w:p w:rsidR="00953D1F" w:rsidRDefault="0013478F" w:rsidP="000120D0">
      <w:pPr>
        <w:numPr>
          <w:ilvl w:val="1"/>
          <w:numId w:val="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terenu oznaczonego jako 01zKD-GP z terenu oznaczonego jako 01KD-G;</w:t>
      </w:r>
    </w:p>
    <w:p w:rsidR="00A77B3E" w:rsidRPr="00953D1F" w:rsidRDefault="0013478F" w:rsidP="000120D0">
      <w:pPr>
        <w:numPr>
          <w:ilvl w:val="1"/>
          <w:numId w:val="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terenu oznaczonego jako 03zKD-L z terenu oznaczonego jako 03KD-L.</w:t>
      </w:r>
    </w:p>
    <w:p w:rsidR="00953D1F" w:rsidRDefault="00953D1F" w:rsidP="000120D0">
      <w:pPr>
        <w:spacing w:after="120" w:line="276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 2.</w:t>
      </w:r>
    </w:p>
    <w:p w:rsidR="00953D1F" w:rsidRDefault="0013478F" w:rsidP="000120D0">
      <w:pPr>
        <w:numPr>
          <w:ilvl w:val="0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color w:val="000000"/>
          <w:szCs w:val="22"/>
          <w:u w:color="000000"/>
        </w:rPr>
        <w:t>Zmiana planu miejscowego wyrażona jest w formie ustaleń tekstowych zawartych w treści niniejszej uchwały i ustaleń graficznych zawartych na rysunku zmiany planu miejscowego, stanowiącym załącznik nr 1 do uchwały.</w:t>
      </w:r>
    </w:p>
    <w:p w:rsidR="00953D1F" w:rsidRDefault="0013478F" w:rsidP="000120D0">
      <w:pPr>
        <w:numPr>
          <w:ilvl w:val="0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Na rysunku, o którym mowa w ust. 1, obowiązującymi ustaleniami zmiany planu miejscowego są:</w:t>
      </w:r>
    </w:p>
    <w:p w:rsidR="00953D1F" w:rsidRDefault="0013478F" w:rsidP="000120D0">
      <w:pPr>
        <w:numPr>
          <w:ilvl w:val="1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granice obszaru objętego zmianą planu miejscowego;</w:t>
      </w:r>
    </w:p>
    <w:p w:rsidR="00953D1F" w:rsidRDefault="0013478F" w:rsidP="000120D0">
      <w:pPr>
        <w:numPr>
          <w:ilvl w:val="1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linie rozgraniczające tereny o różnym przeznaczeniu lub różnych zasadach zagospodarowania;</w:t>
      </w:r>
    </w:p>
    <w:p w:rsidR="00953D1F" w:rsidRDefault="0013478F" w:rsidP="00953D1F">
      <w:pPr>
        <w:numPr>
          <w:ilvl w:val="1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lastRenderedPageBreak/>
        <w:t>numery porządkowe terenów i symbole literowe terenów wydzielonych liniami rozgraniczającymi, poprzedzone sygnaturą „z” dotyczącą zmiany planu miejscowego, oznaczające następujące przeznaczenie terenu:</w:t>
      </w:r>
    </w:p>
    <w:p w:rsidR="00953D1F" w:rsidRDefault="0013478F" w:rsidP="000120D0">
      <w:pPr>
        <w:numPr>
          <w:ilvl w:val="2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K – teren komunikacyjny,</w:t>
      </w:r>
    </w:p>
    <w:p w:rsidR="00953D1F" w:rsidRDefault="0013478F" w:rsidP="000120D0">
      <w:pPr>
        <w:numPr>
          <w:ilvl w:val="2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szCs w:val="22"/>
        </w:rPr>
        <w:t>b) </w:t>
      </w:r>
      <w:proofErr w:type="spellStart"/>
      <w:r w:rsidRPr="00953D1F">
        <w:rPr>
          <w:rFonts w:ascii="Arial" w:hAnsi="Arial" w:cs="Arial"/>
          <w:color w:val="000000"/>
          <w:szCs w:val="22"/>
          <w:u w:color="000000"/>
        </w:rPr>
        <w:t>KD-GP</w:t>
      </w:r>
      <w:proofErr w:type="spellEnd"/>
      <w:r w:rsidRPr="00953D1F">
        <w:rPr>
          <w:rFonts w:ascii="Arial" w:hAnsi="Arial" w:cs="Arial"/>
          <w:color w:val="000000"/>
          <w:szCs w:val="22"/>
          <w:u w:color="000000"/>
        </w:rPr>
        <w:t xml:space="preserve"> – teren drogi głównej ruchu przyspieszonego,</w:t>
      </w:r>
    </w:p>
    <w:p w:rsidR="00953D1F" w:rsidRDefault="0013478F" w:rsidP="000120D0">
      <w:pPr>
        <w:numPr>
          <w:ilvl w:val="2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szCs w:val="22"/>
        </w:rPr>
        <w:t>c) </w:t>
      </w:r>
      <w:proofErr w:type="spellStart"/>
      <w:r w:rsidRPr="00953D1F">
        <w:rPr>
          <w:rFonts w:ascii="Arial" w:hAnsi="Arial" w:cs="Arial"/>
          <w:color w:val="000000"/>
          <w:szCs w:val="22"/>
          <w:u w:color="000000"/>
        </w:rPr>
        <w:t>KD-L</w:t>
      </w:r>
      <w:proofErr w:type="spellEnd"/>
      <w:r w:rsidRPr="00953D1F">
        <w:rPr>
          <w:rFonts w:ascii="Arial" w:hAnsi="Arial" w:cs="Arial"/>
          <w:color w:val="000000"/>
          <w:szCs w:val="22"/>
          <w:u w:color="000000"/>
        </w:rPr>
        <w:t xml:space="preserve"> – teren drogi lokalnej;</w:t>
      </w:r>
    </w:p>
    <w:p w:rsidR="00953D1F" w:rsidRDefault="0013478F" w:rsidP="000120D0">
      <w:pPr>
        <w:numPr>
          <w:ilvl w:val="1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Park Krajobrazowy „Dolina Słupi” - obszar Natura 2000.</w:t>
      </w:r>
    </w:p>
    <w:p w:rsidR="00953D1F" w:rsidRDefault="0013478F" w:rsidP="000120D0">
      <w:pPr>
        <w:numPr>
          <w:ilvl w:val="0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Integralnymi częściami uchwały są:</w:t>
      </w:r>
    </w:p>
    <w:p w:rsidR="00953D1F" w:rsidRDefault="0013478F" w:rsidP="000120D0">
      <w:pPr>
        <w:numPr>
          <w:ilvl w:val="1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załącznik nr 1 – rysunek zmiany planu miejscowego;</w:t>
      </w:r>
    </w:p>
    <w:p w:rsidR="00953D1F" w:rsidRDefault="0013478F" w:rsidP="000120D0">
      <w:pPr>
        <w:numPr>
          <w:ilvl w:val="1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załącznik nr 2 – rozstrzygnięcie o sposobie rozpatrzenia uwag do projektu zmiany planu;</w:t>
      </w:r>
    </w:p>
    <w:p w:rsidR="00953D1F" w:rsidRDefault="0013478F" w:rsidP="000120D0">
      <w:pPr>
        <w:numPr>
          <w:ilvl w:val="1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załącznik nr 3 – rozstrzygnięcie o sposobie realizacji zapisanych w zmianie planu inwestycji z zakresu infrastruktury technicznej, które należą do zadań własnych gminy oraz zasadach ich finansowania, zgodnie z przepisami o finansach publicznych;</w:t>
      </w:r>
    </w:p>
    <w:p w:rsidR="00A77B3E" w:rsidRPr="00953D1F" w:rsidRDefault="0013478F" w:rsidP="000120D0">
      <w:pPr>
        <w:numPr>
          <w:ilvl w:val="1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załącznik nr 4 – dane przestrzenne.</w:t>
      </w:r>
    </w:p>
    <w:p w:rsidR="00953D1F" w:rsidRDefault="0013478F" w:rsidP="000120D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szCs w:val="22"/>
        </w:rPr>
        <w:t>§ 3. </w:t>
      </w:r>
      <w:r w:rsidRPr="00BD5170">
        <w:rPr>
          <w:rFonts w:ascii="Arial" w:hAnsi="Arial" w:cs="Arial"/>
          <w:color w:val="000000"/>
          <w:szCs w:val="22"/>
          <w:u w:color="000000"/>
        </w:rPr>
        <w:t>W uchwale Nr XLII/546/2010 Rady Gminy Kobylnica z dnia 27 kwietnia 2010 r. w sprawie uchwalenia miejscowego planu zagospodarowania przestrzennego wsi Kwakowo wprowadza się następujące zmiany:</w:t>
      </w:r>
    </w:p>
    <w:p w:rsidR="00A77B3E" w:rsidRPr="00BD5170" w:rsidRDefault="00572390" w:rsidP="0057239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>
        <w:rPr>
          <w:rFonts w:ascii="Arial" w:hAnsi="Arial" w:cs="Arial"/>
          <w:color w:val="000000"/>
          <w:szCs w:val="22"/>
          <w:u w:color="000000"/>
        </w:rPr>
        <w:t xml:space="preserve">1) </w:t>
      </w:r>
      <w:r w:rsidR="0013478F" w:rsidRPr="00BD5170">
        <w:rPr>
          <w:rFonts w:ascii="Arial" w:hAnsi="Arial" w:cs="Arial"/>
          <w:color w:val="000000"/>
          <w:szCs w:val="22"/>
          <w:u w:color="000000"/>
        </w:rPr>
        <w:t>w § 7 po ust. 18 dodaje się ust. 18a w brzmieniu:</w:t>
      </w:r>
    </w:p>
    <w:p w:rsidR="00953D1F" w:rsidRDefault="0013478F" w:rsidP="000120D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szCs w:val="22"/>
        </w:rPr>
        <w:t>„18a. </w:t>
      </w:r>
      <w:r w:rsidRPr="00BD5170">
        <w:rPr>
          <w:rFonts w:ascii="Arial" w:hAnsi="Arial" w:cs="Arial"/>
          <w:color w:val="000000"/>
          <w:szCs w:val="22"/>
          <w:u w:color="000000"/>
        </w:rPr>
        <w:t>Dla jednostki elementarnej określonej symbolem 25zK, o powierzchni 0,14 ha, wprowadza się następujące ustalenia:</w:t>
      </w:r>
    </w:p>
    <w:p w:rsidR="00953D1F" w:rsidRDefault="0013478F" w:rsidP="000120D0">
      <w:pPr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color w:val="000000"/>
          <w:szCs w:val="22"/>
          <w:u w:color="000000"/>
        </w:rPr>
        <w:t>Przeznaczenie terenu:</w:t>
      </w:r>
    </w:p>
    <w:p w:rsidR="00953D1F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teren komunikacyjny powiązany z drogą lokalną oznaczoną jako 03zKD-L,</w:t>
      </w:r>
    </w:p>
    <w:p w:rsidR="00953D1F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dopuszcza się zieleń,</w:t>
      </w:r>
    </w:p>
    <w:p w:rsidR="00953D1F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dopuszcza się obiekty małej architektury,</w:t>
      </w:r>
    </w:p>
    <w:p w:rsidR="00953D1F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dopuszcza się lokalizację obiektów i urządzeń infrastruktury technicznej, w tym dróg wewnętrznych i parkingów;</w:t>
      </w:r>
    </w:p>
    <w:p w:rsidR="00953D1F" w:rsidRDefault="0013478F" w:rsidP="000120D0">
      <w:pPr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Zasady ochrony i kształtowania ładu przestrzennego:</w:t>
      </w:r>
    </w:p>
    <w:p w:rsidR="00953D1F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nie dotyczy;</w:t>
      </w:r>
    </w:p>
    <w:p w:rsidR="00953D1F" w:rsidRDefault="0013478F" w:rsidP="000120D0">
      <w:pPr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Zasady ochrony środowiska, przyrody i krajobrazu oraz zasady kształtowania krajobrazu:</w:t>
      </w:r>
    </w:p>
    <w:p w:rsidR="00953D1F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teren w granicach Parku Krajobrazowego „Dolina Słupi”, stanowiącego równocześnie Obszar Specjalnej Ochrony Ptaków w sieci Natura 2000, oznaczon</w:t>
      </w:r>
      <w:r w:rsidR="00953D1F">
        <w:rPr>
          <w:rFonts w:ascii="Arial" w:hAnsi="Arial" w:cs="Arial"/>
          <w:color w:val="000000"/>
          <w:szCs w:val="22"/>
          <w:u w:color="000000"/>
        </w:rPr>
        <w:t xml:space="preserve">y jako PLB220002 „Dolina Słupi” </w:t>
      </w:r>
      <w:r w:rsidRPr="00953D1F">
        <w:rPr>
          <w:rFonts w:ascii="Arial" w:hAnsi="Arial" w:cs="Arial"/>
          <w:color w:val="000000"/>
          <w:szCs w:val="22"/>
          <w:u w:color="000000"/>
        </w:rPr>
        <w:t>– obowiązują zasady wynikające z przepisów szczególnych,</w:t>
      </w:r>
    </w:p>
    <w:p w:rsidR="00953D1F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planowane zagospodarowanie terenu nie może stanowić źródła zanieczyszczeń dla środowiska gruntowo-wodnego oraz nie może powodować zmian stosunków wodnych w obszarze objętym zmianą planu miejscowego oraz na terenach przyległych,</w:t>
      </w:r>
    </w:p>
    <w:p w:rsidR="00953D1F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do kształtowania terenów zielonych (zieleń parkowa) należy używać gatunków roślin rodzimych zgodnych geograficznie i siedliskowo,</w:t>
      </w:r>
    </w:p>
    <w:p w:rsidR="00953D1F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przy projektowaniu należy uwzględnić istniejące warunki geotechniczne, przyrodnicze oraz ukształtowanie terenu,</w:t>
      </w:r>
    </w:p>
    <w:p w:rsidR="00953D1F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lastRenderedPageBreak/>
        <w:t>przy realizacji ustaleń zmiany planu miejscowego należy  zapewnić ochronę siedlisk i stanowisk chronionych gatunków, zgodnie z przepisami szczególnymi dotyczącymi ochrony gatunkowej roślin, zwierząt i grzybów, objętych ochroną;</w:t>
      </w:r>
    </w:p>
    <w:p w:rsidR="00953D1F" w:rsidRDefault="0013478F" w:rsidP="000120D0">
      <w:pPr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Zasady ochrony dziedzictwa kulturowego i zabytków, w tym krajobrazów kulturowych, oraz dóbr kultury współczesnej:</w:t>
      </w:r>
    </w:p>
    <w:p w:rsidR="00953D1F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nie występują obiekty i tereny chronione, zgodnie z przepisami w zakresie dziedzictwa kulturowego i zabytków oraz dóbr kultury współczesnej,</w:t>
      </w:r>
    </w:p>
    <w:p w:rsidR="00953D1F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w trakcie prowadzenia robót ziemnych, w przypadku natrafienia na przedmiot posiadający cechy zabytku, zastosowanie mają przepisy o ochronie zabytków i opiece nad zabytkami;</w:t>
      </w:r>
    </w:p>
    <w:p w:rsidR="00953D1F" w:rsidRDefault="0013478F" w:rsidP="000120D0">
      <w:pPr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Zasady kształtowania przestrzeni publicznych:</w:t>
      </w:r>
    </w:p>
    <w:p w:rsidR="00953D1F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nie określa się;</w:t>
      </w:r>
    </w:p>
    <w:p w:rsidR="00953D1F" w:rsidRDefault="0013478F" w:rsidP="000120D0">
      <w:pPr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Parametry i wskaźniki kształtowania zabudowy oraz zagospodarowania terenu:</w:t>
      </w:r>
    </w:p>
    <w:p w:rsidR="00ED31FC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953D1F">
        <w:rPr>
          <w:rFonts w:ascii="Arial" w:hAnsi="Arial" w:cs="Arial"/>
          <w:color w:val="000000"/>
          <w:szCs w:val="22"/>
          <w:u w:color="000000"/>
        </w:rPr>
        <w:t>nie dotyczy;</w:t>
      </w:r>
    </w:p>
    <w:p w:rsidR="00ED31FC" w:rsidRDefault="0013478F" w:rsidP="000120D0">
      <w:pPr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Tereny i obiekty podlegające ochronie na podstawie przepisów odrębnych:</w:t>
      </w:r>
    </w:p>
    <w:p w:rsidR="00ED31FC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szCs w:val="22"/>
        </w:rPr>
        <w:t>- </w:t>
      </w:r>
      <w:r w:rsidRPr="00ED31FC">
        <w:rPr>
          <w:rFonts w:ascii="Arial" w:hAnsi="Arial" w:cs="Arial"/>
          <w:color w:val="000000"/>
          <w:szCs w:val="22"/>
          <w:u w:color="000000"/>
        </w:rPr>
        <w:t>nie występują tereny górnicze, a także obszary szczególnego zagrożenia powodzią oraz obszary osuwania się mas ziemnych, jak również nie określono krajobrazów priorytetowych;</w:t>
      </w:r>
    </w:p>
    <w:p w:rsidR="00ED31FC" w:rsidRDefault="0013478F" w:rsidP="000120D0">
      <w:pPr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Zasady i warunki scalania i podziału nieruchomości:</w:t>
      </w:r>
    </w:p>
    <w:p w:rsidR="00ED31FC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nie wyznacza się granic terenów wymagających przeprowadzenia scalania i podziału nieruchomości,</w:t>
      </w:r>
    </w:p>
    <w:p w:rsidR="00ED31FC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dopuszcza się scalenia i podział wtórny,</w:t>
      </w:r>
    </w:p>
    <w:p w:rsidR="00ED31FC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wielkości powierzchni i szerokości frontu oraz kąta położenia granic działek w stosunku do pasa drogowego projektowanych działek – nie określa się;</w:t>
      </w:r>
    </w:p>
    <w:p w:rsidR="00ED31FC" w:rsidRDefault="0013478F" w:rsidP="000120D0">
      <w:pPr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Zasady kształtowania systemów komunikacji i infrastruktury technicznej:</w:t>
      </w:r>
    </w:p>
    <w:p w:rsidR="00ED31FC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obsługa komunikacyjna z przyległej drogi (ul. Spacerowa), poza obszarem objętym zmianą planu miejscowego, bezpośrednio lub poprzez drogę wewnętrzną (ul. Cicha),</w:t>
      </w:r>
    </w:p>
    <w:p w:rsidR="00ED31FC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zapewnić miejsca postojowe w granicach terenu, w tym nie mniej niż jedno miejsce przeznaczone na parkowanie pojazdu zaopatrzonego w kartę parkingową,</w:t>
      </w:r>
    </w:p>
    <w:p w:rsidR="00ED31FC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odprowadzanie wód opadowych i roztopowych – do gminnego systemu odprowadzania wód opadowych i roztopowych, z możliwością zagospodarowania na terenie. Przed odprowadzeniem do odbiornika wody podczyścić w stopniu wymaganym przepisami,</w:t>
      </w:r>
    </w:p>
    <w:p w:rsidR="00ED31FC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zaopatrzenie w energię elektryczną – z sieci elektroenergetycznej, z dopuszczeniem zastosowania odnawialnych źródeł energii;</w:t>
      </w:r>
    </w:p>
    <w:p w:rsidR="00ED31FC" w:rsidRDefault="0013478F" w:rsidP="000120D0">
      <w:pPr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Sposoby i terminy tymczasowego zagospodarowania:</w:t>
      </w:r>
    </w:p>
    <w:p w:rsidR="00ED31FC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nie przewiduje się;</w:t>
      </w:r>
    </w:p>
    <w:p w:rsidR="00ED31FC" w:rsidRDefault="0013478F" w:rsidP="000120D0">
      <w:pPr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Obszary rehabilitacji istniejącej zabudowy i infrastruktury technicznej:</w:t>
      </w:r>
    </w:p>
    <w:p w:rsidR="00ED31FC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nie określa się;</w:t>
      </w:r>
    </w:p>
    <w:p w:rsidR="00ED31FC" w:rsidRDefault="0013478F" w:rsidP="000120D0">
      <w:pPr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Tereny rekreacyjno-wypoczynkowe:</w:t>
      </w:r>
    </w:p>
    <w:p w:rsidR="00ED31FC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lastRenderedPageBreak/>
        <w:t>nie dotyczy;</w:t>
      </w:r>
    </w:p>
    <w:p w:rsidR="00ED31FC" w:rsidRDefault="0013478F" w:rsidP="000120D0">
      <w:pPr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Opłata planistyczna:</w:t>
      </w:r>
    </w:p>
    <w:p w:rsidR="00ED31FC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ustala się stawkę procentową służącą naliczeniu jednorazowej opłaty z tytułu wzrostu wartości nieruchomości w wysokości 1%;</w:t>
      </w:r>
    </w:p>
    <w:p w:rsidR="00ED31FC" w:rsidRDefault="0013478F" w:rsidP="000120D0">
      <w:pPr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Szczególne warunki zagospodarowania oraz ograniczenia w użytkowaniu terenu:</w:t>
      </w:r>
    </w:p>
    <w:p w:rsidR="00ED31FC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w zakresie obronności:</w:t>
      </w:r>
    </w:p>
    <w:p w:rsidR="00ED31FC" w:rsidRDefault="0013478F" w:rsidP="000120D0">
      <w:pPr>
        <w:numPr>
          <w:ilvl w:val="2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związane z zapewnieniem funkcjonowania Bazy systemu obrony przed rakietami balistycznymi w Redzikowie dotyczące ograniczenia w użytkowaniu nadajników elektromagnetycznych: zabronione jest używanie nadajników elektromagnetycznych, które generują pole magnetyczne przekraczające natężenie 3V/m wartości skutecznej dla wszystkich częstotliwości od 9 kHz do 300 GHz, mierzonych 2 m nad poziomem gruntu w Punkcie Centralnym Bazy o współrzędnych 54</w:t>
      </w:r>
      <w:r w:rsidRPr="00ED31FC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ED31FC">
        <w:rPr>
          <w:rFonts w:ascii="Arial" w:hAnsi="Arial" w:cs="Arial"/>
          <w:color w:val="000000"/>
          <w:szCs w:val="22"/>
          <w:u w:color="000000"/>
        </w:rPr>
        <w:t>28</w:t>
      </w:r>
      <w:r w:rsidRPr="00ED31FC">
        <w:rPr>
          <w:rFonts w:ascii="Arial" w:hAnsi="Arial" w:cs="Arial"/>
          <w:color w:val="000000"/>
          <w:szCs w:val="22"/>
          <w:u w:color="000000"/>
          <w:vertAlign w:val="superscript"/>
        </w:rPr>
        <w:t>’</w:t>
      </w:r>
      <w:r w:rsidRPr="00ED31FC">
        <w:rPr>
          <w:rFonts w:ascii="Arial" w:hAnsi="Arial" w:cs="Arial"/>
          <w:color w:val="000000"/>
          <w:szCs w:val="22"/>
          <w:u w:color="000000"/>
        </w:rPr>
        <w:t>46,354”N oraz 17</w:t>
      </w:r>
      <w:r w:rsidRPr="00ED31FC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ED31FC">
        <w:rPr>
          <w:rFonts w:ascii="Arial" w:hAnsi="Arial" w:cs="Arial"/>
          <w:color w:val="000000"/>
          <w:szCs w:val="22"/>
          <w:u w:color="000000"/>
        </w:rPr>
        <w:t>06</w:t>
      </w:r>
      <w:r w:rsidRPr="00ED31FC">
        <w:rPr>
          <w:rFonts w:ascii="Arial" w:hAnsi="Arial" w:cs="Arial"/>
          <w:color w:val="000000"/>
          <w:szCs w:val="22"/>
          <w:u w:color="000000"/>
          <w:vertAlign w:val="superscript"/>
        </w:rPr>
        <w:t>’</w:t>
      </w:r>
      <w:r w:rsidRPr="00ED31FC">
        <w:rPr>
          <w:rFonts w:ascii="Arial" w:hAnsi="Arial" w:cs="Arial"/>
          <w:color w:val="000000"/>
          <w:szCs w:val="22"/>
          <w:u w:color="000000"/>
        </w:rPr>
        <w:t>38,046”E, w układzie odniesienia WGS-84 i wysokości 64 m n.p.m.,</w:t>
      </w:r>
    </w:p>
    <w:p w:rsidR="00ED31FC" w:rsidRDefault="0013478F" w:rsidP="000120D0">
      <w:pPr>
        <w:numPr>
          <w:ilvl w:val="2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wszelkie projektowane obiekty stałe i tymczasowe o wysokości równej i wyższej od 50 m nad poziom terenu, podlegają zgłoszeniu do właściwego organu nadzoru nad lotnictwem wojskowym, przed wydaniem decyzji o pozwoleniu na budowę,</w:t>
      </w:r>
    </w:p>
    <w:p w:rsidR="002A7E61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ED31FC">
        <w:rPr>
          <w:rFonts w:ascii="Arial" w:hAnsi="Arial" w:cs="Arial"/>
          <w:color w:val="000000"/>
          <w:szCs w:val="22"/>
          <w:u w:color="000000"/>
        </w:rPr>
        <w:t>sieci elektroenergetyczne i oświetlenie należy projektować w sposób umożliwiający szybkie przystosowanie do potrzeb obrony cywilnej,</w:t>
      </w:r>
    </w:p>
    <w:p w:rsidR="002A7E61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2A7E61">
        <w:rPr>
          <w:rFonts w:ascii="Arial" w:hAnsi="Arial" w:cs="Arial"/>
          <w:color w:val="000000"/>
          <w:szCs w:val="22"/>
          <w:u w:color="000000"/>
        </w:rPr>
        <w:t>w zagospodarowaniu terenu uwzględnić przebieg gazociągów wraz ze strefami kontrolowanymi, a także linii i obiektów elektroenergetycznych wraz ze strefami ochronnymi, również w sąsiedztwie terenu, zgodnie z przepisami szczególnymi,</w:t>
      </w:r>
    </w:p>
    <w:p w:rsidR="002A7E61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2A7E61">
        <w:rPr>
          <w:rFonts w:ascii="Arial" w:hAnsi="Arial" w:cs="Arial"/>
          <w:color w:val="000000"/>
          <w:szCs w:val="22"/>
          <w:u w:color="000000"/>
        </w:rPr>
        <w:t>do sieci i urządzeń infrastruktury technicznej należy zapewnić dostęp dla zarządzającego siecią;</w:t>
      </w:r>
    </w:p>
    <w:p w:rsidR="00F3300E" w:rsidRDefault="0013478F" w:rsidP="000120D0">
      <w:pPr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2A7E61">
        <w:rPr>
          <w:rFonts w:ascii="Arial" w:hAnsi="Arial" w:cs="Arial"/>
          <w:color w:val="000000"/>
          <w:szCs w:val="22"/>
          <w:u w:color="000000"/>
        </w:rPr>
        <w:t>Inne ustalenia:</w:t>
      </w:r>
    </w:p>
    <w:p w:rsidR="00572390" w:rsidRDefault="0013478F" w:rsidP="000120D0">
      <w:pPr>
        <w:numPr>
          <w:ilvl w:val="1"/>
          <w:numId w:val="7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F3300E">
        <w:rPr>
          <w:rFonts w:ascii="Arial" w:hAnsi="Arial" w:cs="Arial"/>
          <w:color w:val="000000"/>
          <w:szCs w:val="22"/>
          <w:u w:color="000000"/>
        </w:rPr>
        <w:t>przestrzeń publiczna o reprezentacyjnym charakterze.</w:t>
      </w:r>
      <w:r w:rsidRPr="00F3300E">
        <w:rPr>
          <w:rFonts w:ascii="Arial" w:hAnsi="Arial" w:cs="Arial"/>
          <w:szCs w:val="22"/>
        </w:rPr>
        <w:t>”;</w:t>
      </w:r>
    </w:p>
    <w:p w:rsidR="00A77B3E" w:rsidRPr="00572390" w:rsidRDefault="0013478F" w:rsidP="0057239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szCs w:val="22"/>
        </w:rPr>
        <w:t>2) </w:t>
      </w:r>
      <w:r w:rsidRPr="00572390">
        <w:rPr>
          <w:rFonts w:ascii="Arial" w:hAnsi="Arial" w:cs="Arial"/>
          <w:color w:val="000000"/>
          <w:szCs w:val="22"/>
          <w:u w:color="000000"/>
        </w:rPr>
        <w:t>w § 7 po ust. 25 dodaje się ust. 25a w brzmieniu:</w:t>
      </w:r>
    </w:p>
    <w:p w:rsidR="00572390" w:rsidRDefault="0013478F" w:rsidP="000120D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szCs w:val="22"/>
        </w:rPr>
        <w:t>„25a. </w:t>
      </w:r>
      <w:r w:rsidRPr="00BD5170">
        <w:rPr>
          <w:rFonts w:ascii="Arial" w:hAnsi="Arial" w:cs="Arial"/>
          <w:color w:val="000000"/>
          <w:szCs w:val="22"/>
          <w:u w:color="000000"/>
        </w:rPr>
        <w:t>Dla terenu komunikacji drogowej oznaczonego symbolem 01zKD-GP, o powierzchni 0,06 ha, wprowadza się następujące ustalenia:</w:t>
      </w:r>
    </w:p>
    <w:p w:rsidR="00572390" w:rsidRDefault="0013478F" w:rsidP="000120D0">
      <w:pPr>
        <w:numPr>
          <w:ilvl w:val="0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color w:val="000000"/>
          <w:szCs w:val="22"/>
          <w:u w:color="000000"/>
        </w:rPr>
        <w:t>Przeznaczenie terenu: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droga główna ruchu przyspieszonego - fragment stanowiący integralną część drogi krajowej, oznaczonej w miejscowym planie zagospodarowania przestrzennego wsi Kwakowo jako 01KD-G,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dopuszcza się zieleń,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dopuszcza się obiekty małej architektury i przebieg ścieżki rowerowej,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dopuszcza się przejścia niezbędnych sieci infrastruktury technicznej,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dopuszcza się możliwość włączenia fragmentu niewykorzystanej powierzchni pod drogę do terenów przyległych;</w:t>
      </w:r>
    </w:p>
    <w:p w:rsidR="00572390" w:rsidRDefault="0013478F" w:rsidP="000120D0">
      <w:pPr>
        <w:numPr>
          <w:ilvl w:val="0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Zasady ochrony i kształtowania ładu przestrzennego: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nie dotyczy;</w:t>
      </w:r>
    </w:p>
    <w:p w:rsidR="00572390" w:rsidRDefault="0013478F" w:rsidP="000120D0">
      <w:pPr>
        <w:numPr>
          <w:ilvl w:val="0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lastRenderedPageBreak/>
        <w:t>Zasady ochrony środowiska, przyrody i krajobrazu oraz zasady kształtowania krajobrazu: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teren w granicach Parku Krajobrazowego „Dolina Słupi”, stanowiącego równocześnie Obszar Specjalnej Ochrony Ptaków w sieci Natura 2000, oznaczony jako PLB220002 „Dolina Słupi” – obowiązują zasady wynikające z przepisów szczególnych,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planowane zagospodarowanie terenu nie może stanowić źródła zanieczyszczeń dla środowiska gruntowo-wodnego oraz nie może powodować zmian stosunków wodnych w obszarze objętym zmianą planu miejscowego oraz na terenach przyległych,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do kształtowania terenów zielonych należy używać gatunków roślin rodzimych zgodnych geograficznie i siedliskowo,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przy projektowaniu należy uwzględnić istniejące warunki geotechniczne, przyrodnicze oraz ukształtowanie terenu,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przy realizacji ustaleń zmiany planu miejscowego należy  zapewnić ochronę siedlisk i stanowisk chronionych gatunków, zgodnie z przepisami szczególnymi dotyczącymi ochrony gatunkowej roślin, zwierząt i grzybów, objętych ochroną;</w:t>
      </w:r>
    </w:p>
    <w:p w:rsidR="00572390" w:rsidRDefault="0013478F" w:rsidP="000120D0">
      <w:pPr>
        <w:numPr>
          <w:ilvl w:val="0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Zasady ochrony dziedzictwa kulturowego i zabytków, w tym krajobrazów kulturowych, oraz dóbr kultury współczesnej: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nie występują obiekty i tereny chronione, zgodnie z przepisami w zakresie dziedzictwa kulturowego i zabytków oraz dóbr kultury współczesnej,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w trakcie prowadzenia robót ziemnych, w przypadku natrafienia na przedmiot posiadający cechy zabytku, zastosowanie mają przepisy o ochronie zabytków i opiece nad zabytkami;</w:t>
      </w:r>
    </w:p>
    <w:p w:rsidR="00572390" w:rsidRDefault="0013478F" w:rsidP="000120D0">
      <w:pPr>
        <w:numPr>
          <w:ilvl w:val="0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Zasady kształtowania przestrzeni publicznych: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nie określa się;</w:t>
      </w:r>
    </w:p>
    <w:p w:rsidR="00572390" w:rsidRDefault="0013478F" w:rsidP="000120D0">
      <w:pPr>
        <w:numPr>
          <w:ilvl w:val="0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Parametry i wskaźniki kształtowania drogi oraz zagospodarowania terenu: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szerokość w liniach rozgraniczających, jak na rysunku planu miejscowego;</w:t>
      </w:r>
    </w:p>
    <w:p w:rsidR="00572390" w:rsidRDefault="0013478F" w:rsidP="000120D0">
      <w:pPr>
        <w:numPr>
          <w:ilvl w:val="0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Tereny i obiekty podlegające ochronie na podstawie przepisów odrębnych: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nie występują tereny górnicze, a także obszary szczególnego zagrożenia powodzią oraz obszary osuwania się mas ziemnych, jak również nie określono krajobrazów priorytetowych;</w:t>
      </w:r>
    </w:p>
    <w:p w:rsidR="00572390" w:rsidRDefault="0013478F" w:rsidP="000120D0">
      <w:pPr>
        <w:numPr>
          <w:ilvl w:val="0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Zasady i warunki scalania i podziału nieruchomości: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nie wyznacza się granic terenów wymagających przeprowadzenia scalania i podziału nieruchomości,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wielkości powierzchni i szerokości frontu oraz kąta położenia granic działek w stosunku do pasa drogowego projektowanych działek – nie określa się;</w:t>
      </w:r>
    </w:p>
    <w:p w:rsidR="00572390" w:rsidRDefault="0013478F" w:rsidP="000120D0">
      <w:pPr>
        <w:numPr>
          <w:ilvl w:val="0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Zasady kształtowania systemów komunikacji i infrastruktury technicznej: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odprowadzanie wód opadowych i roztopowych – do systemu odprowadzania wód opadowych i roztopowych drogi krajowej, z możliwością zagospodarowania na terenie. Przed odprowadzeniem do odbiornika wody podczyścić w stopniu wymaganym przepisami,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zaopatrzenie w energię elektryczną – z sieci elektroenergetycznej, z dopuszczeniem zastosowania odnawialnych źródeł energii;</w:t>
      </w:r>
    </w:p>
    <w:p w:rsidR="00572390" w:rsidRDefault="0013478F" w:rsidP="000120D0">
      <w:pPr>
        <w:numPr>
          <w:ilvl w:val="0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Sposoby i terminy tymczasowego zagospodarowania: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lastRenderedPageBreak/>
        <w:t>nie przewiduje się;</w:t>
      </w:r>
    </w:p>
    <w:p w:rsidR="00572390" w:rsidRDefault="0013478F" w:rsidP="000120D0">
      <w:pPr>
        <w:numPr>
          <w:ilvl w:val="0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Obszary rehabilitacji istniejącej zabudowy i infrastruktury technicznej: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nie określa się;</w:t>
      </w:r>
    </w:p>
    <w:p w:rsidR="00572390" w:rsidRDefault="0013478F" w:rsidP="000120D0">
      <w:pPr>
        <w:numPr>
          <w:ilvl w:val="0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Tereny rekreacyjno-wypoczynkowe: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nie dotyczy;</w:t>
      </w:r>
    </w:p>
    <w:p w:rsidR="00572390" w:rsidRDefault="0013478F" w:rsidP="000120D0">
      <w:pPr>
        <w:numPr>
          <w:ilvl w:val="0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Opłata planistyczna: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ustala się stawkę procentową służącą naliczeniu jednorazowej opłaty z tytułu wzrostu wartości nieruchomości w wysokości 1%;</w:t>
      </w:r>
    </w:p>
    <w:p w:rsidR="00572390" w:rsidRDefault="0013478F" w:rsidP="000120D0">
      <w:pPr>
        <w:numPr>
          <w:ilvl w:val="0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Szczególne warunki zagospodarowania oraz ograniczenia w użytkowaniu terenu: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oświetlenie należy projektować w sposób umożliwiający szybkie przystosowanie do potrzeb obrony cywilnej,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w zagospodarowaniu terenu uwzględnić przebieg gazociągów wraz ze strefami kontrolowanymi, a także linii i obiektów elektroenergetycznych wraz ze strefami ochronnymi, również w sąsiedztwie terenu, zgodnie z przepisami szczególnymi,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do sieci i urządzeń infrastruktury technicznej należy zapewnić dostęp dla zarządzającego siecią;</w:t>
      </w:r>
    </w:p>
    <w:p w:rsidR="00572390" w:rsidRDefault="0013478F" w:rsidP="000120D0">
      <w:pPr>
        <w:numPr>
          <w:ilvl w:val="0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Inne ustalenia: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teren dla realizacji celów publicznych,</w:t>
      </w:r>
    </w:p>
    <w:p w:rsidR="00572390" w:rsidRDefault="0013478F" w:rsidP="000120D0">
      <w:pPr>
        <w:numPr>
          <w:ilvl w:val="1"/>
          <w:numId w:val="10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kategoria drogi ze względu na funkcję - droga krajowa.</w:t>
      </w:r>
      <w:r w:rsidRPr="00572390">
        <w:rPr>
          <w:rFonts w:ascii="Arial" w:hAnsi="Arial" w:cs="Arial"/>
          <w:szCs w:val="22"/>
        </w:rPr>
        <w:t>”;</w:t>
      </w:r>
    </w:p>
    <w:p w:rsidR="00A77B3E" w:rsidRPr="00572390" w:rsidRDefault="0013478F" w:rsidP="0057239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szCs w:val="22"/>
        </w:rPr>
        <w:t>3) </w:t>
      </w:r>
      <w:r w:rsidRPr="00572390">
        <w:rPr>
          <w:rFonts w:ascii="Arial" w:hAnsi="Arial" w:cs="Arial"/>
          <w:color w:val="000000"/>
          <w:szCs w:val="22"/>
          <w:u w:color="000000"/>
        </w:rPr>
        <w:t>w § 7 po ust. 26 dodaje się ust. 26a w brzmieniu:</w:t>
      </w:r>
    </w:p>
    <w:p w:rsidR="00572390" w:rsidRDefault="0013478F" w:rsidP="000120D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szCs w:val="22"/>
        </w:rPr>
        <w:t>„25a. </w:t>
      </w:r>
      <w:r w:rsidRPr="00BD5170">
        <w:rPr>
          <w:rFonts w:ascii="Arial" w:hAnsi="Arial" w:cs="Arial"/>
          <w:color w:val="000000"/>
          <w:szCs w:val="22"/>
          <w:u w:color="000000"/>
        </w:rPr>
        <w:t>Dla terenu komunikacji drogowej oznaczonego symbolem 03zKD-L, o powierzchni 0,03 ha, wprowadza się następujące ustalenia:</w:t>
      </w:r>
    </w:p>
    <w:p w:rsidR="00572390" w:rsidRDefault="0013478F" w:rsidP="000120D0">
      <w:pPr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color w:val="000000"/>
          <w:szCs w:val="22"/>
          <w:u w:color="000000"/>
        </w:rPr>
        <w:t>Przeznaczenie terenu:</w:t>
      </w:r>
    </w:p>
    <w:p w:rsidR="00572390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droga lokalna do obsługi powiązań komunikacyjnych z sąsiednimi miejscowościami i przyległymi terenami - fragment stanowiący integralną część drogi oznaczonej w miejscowym planie zagospodarowania przestrzennego  wsi Kwakowo jako 03KD-L,</w:t>
      </w:r>
    </w:p>
    <w:p w:rsidR="00572390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dopuszcza się zieleń,</w:t>
      </w:r>
    </w:p>
    <w:p w:rsidR="00572390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dopuszcza się obiekty małej architektury i przebieg ścieżki rowerowej,</w:t>
      </w:r>
    </w:p>
    <w:p w:rsidR="00572390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dopuszcza się budowę i przebudowę sieci i urządzeń infrastruktury technicznej,</w:t>
      </w:r>
    </w:p>
    <w:p w:rsidR="00572390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dopuszcza się możliwość włączenia fragmentu niewykorzystanej powierzchni pod drogę do terenów przyległych;</w:t>
      </w:r>
    </w:p>
    <w:p w:rsidR="00572390" w:rsidRDefault="0013478F" w:rsidP="000120D0">
      <w:pPr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Zasady ochrony i kształtowania ładu przestrzennego: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572390">
        <w:rPr>
          <w:rFonts w:ascii="Arial" w:hAnsi="Arial" w:cs="Arial"/>
          <w:color w:val="000000"/>
          <w:szCs w:val="22"/>
          <w:u w:color="000000"/>
        </w:rPr>
        <w:t>nie dotyczy;</w:t>
      </w:r>
    </w:p>
    <w:p w:rsidR="00716A55" w:rsidRDefault="0013478F" w:rsidP="000120D0">
      <w:pPr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Zasady ochrony środowiska, przyrody i krajobrazu oraz zasady kształtowania krajobrazu: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teren w granicach Parku Krajobrazowego „Dolina Słupi”, stanowiącego równocześnie Obszar Specjalnej Ochrony Ptaków w sieci Natura 2000, oznaczony jako PLB220002 „Dolina Słupi” – obowiązują zasady wynikające z przepisów szczególnych,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planowane zagospodarowanie terenu nie może stanowić źródła zanieczyszczeń dla środowiska gruntowo-wodnego oraz nie może powodować zmian stosunków wodnych w obszarze objętym zmianą planu miejscowego oraz na terenach przyległych,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lastRenderedPageBreak/>
        <w:t>do kształtowania terenów zielonych należy używać gatunków roślin rodzimych zgodnych geograficznie i siedliskowo,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przy projektowaniu należy uwzględnić istniejące warunki geotechniczne, przyrodnicze oraz ukształtowanie terenu,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przy realizacji ustaleń zmiany planu miejscowego należy  zapewnić ochronę siedlisk i stanowisk chronionych gatunków, zgodnie z przepisami szczególnymi dotyczącymi ochrony gatunkowej roślin, zwierząt i grzybów, objętych ochroną;</w:t>
      </w:r>
    </w:p>
    <w:p w:rsidR="00716A55" w:rsidRDefault="0013478F" w:rsidP="000120D0">
      <w:pPr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Zasady ochrony dziedzictwa kulturowego i zabytków, w tym krajobrazów kulturowych, oraz dóbr kultury współczesnej: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nie występują obiekty i tereny chronione, zgodnie z przepisami w zakresie dziedzictwa kulturowego i zabytków oraz dóbr kultury współczesnej,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w trakcie prowadzenia robót ziemnych, w przypadku natrafienia na przedmiot posiadający cechy zabytku, zastosowanie mają przepisy o ochronie zabytków i opiece nad zabytkami;</w:t>
      </w:r>
    </w:p>
    <w:p w:rsidR="00716A55" w:rsidRDefault="0013478F" w:rsidP="000120D0">
      <w:pPr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Zasady kształtowania przestrzeni publicznych: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nie określa się;</w:t>
      </w:r>
    </w:p>
    <w:p w:rsidR="00716A55" w:rsidRDefault="0013478F" w:rsidP="000120D0">
      <w:pPr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Parametry i wskaźniki kształtowania drogi oraz zagospodarowania terenu: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szerokość w liniach rozgraniczających, jak na rysunku planu miejscowego;</w:t>
      </w:r>
    </w:p>
    <w:p w:rsidR="00716A55" w:rsidRDefault="0013478F" w:rsidP="000120D0">
      <w:pPr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Tereny i obiekty podlegające ochronie na podstawie przepisów odrębnych: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nie występują tereny górnicze, a także obszary szczególnego zagrożenia powodzią oraz obszary osuwania się mas ziemnych, jak również nie określono krajobrazów priorytetowych;</w:t>
      </w:r>
    </w:p>
    <w:p w:rsidR="00716A55" w:rsidRDefault="0013478F" w:rsidP="000120D0">
      <w:pPr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Zasady i warunki scalania i podziału nieruchomości: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nie wyznacza się granic terenów wymagających przeprowadzenia scalania i podziału nieruchomości,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wielkości powierzchni i szerokości frontu oraz kąta położenia granic działek w stosunku do pasa drogowego projektowanych działek – nie określa się;</w:t>
      </w:r>
    </w:p>
    <w:p w:rsidR="00716A55" w:rsidRDefault="0013478F" w:rsidP="000120D0">
      <w:pPr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Zasady kształtowania systemów komunikacji i infrastruktury technicznej: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odprowadzanie wód opadowych i roztopowych – do gminnego systemu odprowadzania wód opadowych i roztopowych, z możliwością zagospodarowania na terenie. Przed odprowadzeniem do odbiornika wody podczyścić w stopniu wymaganym przepisami,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zaopatrzenie w energię elektryczną – z sieci elektroenergetycznej, z dopuszczeniem zastosowania odnawialnych źródeł energii;</w:t>
      </w:r>
    </w:p>
    <w:p w:rsidR="00716A55" w:rsidRDefault="0013478F" w:rsidP="000120D0">
      <w:pPr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Sposoby i terminy tymczasowego zagospodarowania: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nie przewiduje się;</w:t>
      </w:r>
    </w:p>
    <w:p w:rsidR="00716A55" w:rsidRDefault="0013478F" w:rsidP="000120D0">
      <w:pPr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Obszary rehabilitacji istniejącej zabudowy i infrastruktury technicznej: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nie określa się;</w:t>
      </w:r>
    </w:p>
    <w:p w:rsidR="00716A55" w:rsidRDefault="0013478F" w:rsidP="000120D0">
      <w:pPr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Tereny rekreacyjno-wypoczynkowe: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nie dotyczy;</w:t>
      </w:r>
    </w:p>
    <w:p w:rsidR="00716A55" w:rsidRDefault="0013478F" w:rsidP="000120D0">
      <w:pPr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Opłata planistyczna: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lastRenderedPageBreak/>
        <w:t>ustala się stawkę procentową służącą naliczeniu jednorazowej opłaty z tytułu wzrostu wartości nieruchomości w wysokości 1%;</w:t>
      </w:r>
    </w:p>
    <w:p w:rsidR="00716A55" w:rsidRDefault="0013478F" w:rsidP="000120D0">
      <w:pPr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Szczególne warunki zagospodarowania oraz ograniczenia w użytkowaniu terenu: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oświetlenie należy projektować w sposób umożliwiający szybkie przystosowanie do potrzeb obrony cywilnej,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w zagospodarowaniu terenu uwzględnić przebieg gazociągów wraz ze strefami kontrolowanymi, a także linii i obiektów elektroenergetycznych wraz ze strefami ochronnymi, również w sąsiedztwie terenu, zgodnie z przepisami szczególnymi,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do sieci i urządzeń infrastruktury technicznej należy zapewnić dostęp dla zarządzającego siecią;</w:t>
      </w:r>
    </w:p>
    <w:p w:rsidR="00716A55" w:rsidRDefault="0013478F" w:rsidP="000120D0">
      <w:pPr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Inne ustalenia:</w:t>
      </w:r>
    </w:p>
    <w:p w:rsid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teren dla realizacji celów publicznych,</w:t>
      </w:r>
    </w:p>
    <w:p w:rsidR="00A77B3E" w:rsidRPr="00716A55" w:rsidRDefault="0013478F" w:rsidP="000120D0">
      <w:pPr>
        <w:numPr>
          <w:ilvl w:val="1"/>
          <w:numId w:val="1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kategoria drogi ze względu na funkcję - droga powiatowa.</w:t>
      </w:r>
      <w:r w:rsidRPr="00716A55">
        <w:rPr>
          <w:rFonts w:ascii="Arial" w:hAnsi="Arial" w:cs="Arial"/>
          <w:szCs w:val="22"/>
        </w:rPr>
        <w:t>”.</w:t>
      </w:r>
    </w:p>
    <w:p w:rsidR="00A77B3E" w:rsidRPr="00BD5170" w:rsidRDefault="0013478F" w:rsidP="000120D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szCs w:val="22"/>
        </w:rPr>
        <w:t>§ 4. </w:t>
      </w:r>
      <w:r w:rsidRPr="00BD5170">
        <w:rPr>
          <w:rFonts w:ascii="Arial" w:hAnsi="Arial" w:cs="Arial"/>
          <w:color w:val="000000"/>
          <w:szCs w:val="22"/>
          <w:u w:color="000000"/>
        </w:rPr>
        <w:t>Wykonanie uchwały powierza się Wójtowi Gminy Kobylnica.</w:t>
      </w:r>
    </w:p>
    <w:p w:rsidR="00716A55" w:rsidRDefault="00716A55" w:rsidP="000120D0">
      <w:pPr>
        <w:spacing w:after="120" w:line="276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 5.</w:t>
      </w:r>
    </w:p>
    <w:p w:rsidR="00716A55" w:rsidRDefault="0013478F" w:rsidP="000120D0">
      <w:pPr>
        <w:numPr>
          <w:ilvl w:val="0"/>
          <w:numId w:val="1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color w:val="000000"/>
          <w:szCs w:val="22"/>
          <w:u w:color="000000"/>
        </w:rPr>
        <w:t>Uchwała wchodzi w życie po upływie 14 dni od dnia jej ogłoszenia w Dzienniku Urzędowym Województwa Pomorskiego.</w:t>
      </w:r>
    </w:p>
    <w:p w:rsidR="00A77B3E" w:rsidRPr="00716A55" w:rsidRDefault="0013478F" w:rsidP="000120D0">
      <w:pPr>
        <w:numPr>
          <w:ilvl w:val="0"/>
          <w:numId w:val="1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16A55">
        <w:rPr>
          <w:rFonts w:ascii="Arial" w:hAnsi="Arial" w:cs="Arial"/>
          <w:color w:val="000000"/>
          <w:szCs w:val="22"/>
          <w:u w:color="000000"/>
        </w:rPr>
        <w:t>Uchwała, o której mowa w ust. 1 podlega również publikacji na stronie internetowej Gminy Kobylnica.</w:t>
      </w:r>
    </w:p>
    <w:p w:rsidR="00A77B3E" w:rsidRPr="00BD5170" w:rsidRDefault="00A77B3E" w:rsidP="000120D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  <w:sectPr w:rsidR="00A77B3E" w:rsidRPr="00BD5170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Pr="00BD5170" w:rsidRDefault="00187143" w:rsidP="000120D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color w:val="000000"/>
          <w:szCs w:val="22"/>
          <w:u w:color="000000"/>
        </w:rPr>
        <w:lastRenderedPageBreak/>
        <w:fldChar w:fldCharType="begin"/>
      </w:r>
      <w:r w:rsidRPr="00BD5170">
        <w:rPr>
          <w:rFonts w:ascii="Arial" w:hAnsi="Arial" w:cs="Arial"/>
          <w:color w:val="000000"/>
          <w:szCs w:val="22"/>
          <w:u w:color="000000"/>
        </w:rPr>
        <w:fldChar w:fldCharType="end"/>
      </w:r>
      <w:r w:rsidR="0013478F" w:rsidRPr="00BD5170">
        <w:rPr>
          <w:rFonts w:ascii="Arial" w:hAnsi="Arial" w:cs="Arial"/>
          <w:szCs w:val="22"/>
        </w:rPr>
        <w:t>Załącznik Nr 1 do uchwały</w:t>
      </w:r>
      <w:r w:rsidR="0013478F" w:rsidRPr="00BD5170">
        <w:rPr>
          <w:rFonts w:ascii="Arial" w:hAnsi="Arial" w:cs="Arial"/>
          <w:color w:val="000000"/>
          <w:szCs w:val="22"/>
          <w:u w:color="000000"/>
        </w:rPr>
        <w:t xml:space="preserve"> Nr XXXI/261/2020</w:t>
      </w:r>
      <w:r w:rsidR="0013478F" w:rsidRPr="00BD5170">
        <w:rPr>
          <w:rFonts w:ascii="Arial" w:hAnsi="Arial" w:cs="Arial"/>
          <w:color w:val="000000"/>
          <w:szCs w:val="22"/>
          <w:u w:color="000000"/>
        </w:rPr>
        <w:br/>
      </w:r>
      <w:r w:rsidR="0013478F" w:rsidRPr="00BD5170">
        <w:rPr>
          <w:rFonts w:ascii="Arial" w:hAnsi="Arial" w:cs="Arial"/>
          <w:szCs w:val="22"/>
        </w:rPr>
        <w:t>Rady Gminy Kobylnica</w:t>
      </w:r>
      <w:r w:rsidR="0013478F" w:rsidRPr="00BD5170">
        <w:rPr>
          <w:rFonts w:ascii="Arial" w:hAnsi="Arial" w:cs="Arial"/>
          <w:color w:val="000000"/>
          <w:szCs w:val="22"/>
          <w:u w:color="000000"/>
        </w:rPr>
        <w:br/>
      </w:r>
      <w:r w:rsidR="0013478F" w:rsidRPr="00BD5170">
        <w:rPr>
          <w:rFonts w:ascii="Arial" w:hAnsi="Arial" w:cs="Arial"/>
          <w:szCs w:val="22"/>
        </w:rPr>
        <w:t>z dnia 17 grudnia 2020 r.</w:t>
      </w:r>
      <w:r w:rsidR="0013478F" w:rsidRPr="00BD5170">
        <w:rPr>
          <w:rFonts w:ascii="Arial" w:hAnsi="Arial" w:cs="Arial"/>
          <w:color w:val="000000"/>
          <w:szCs w:val="22"/>
          <w:u w:color="000000"/>
        </w:rPr>
        <w:br/>
      </w:r>
      <w:hyperlink r:id="rId7" w:history="1">
        <w:r w:rsidR="0013478F" w:rsidRPr="00BD5170">
          <w:rPr>
            <w:rStyle w:val="Hipercze"/>
            <w:rFonts w:ascii="Arial" w:hAnsi="Arial" w:cs="Arial"/>
            <w:color w:val="000000"/>
            <w:szCs w:val="22"/>
            <w:u w:val="none" w:color="000000"/>
          </w:rPr>
          <w:t>Zalacznik1.pdf</w:t>
        </w:r>
      </w:hyperlink>
    </w:p>
    <w:p w:rsidR="00A77B3E" w:rsidRPr="00BD5170" w:rsidRDefault="0013478F" w:rsidP="000120D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  <w:sectPr w:rsidR="00A77B3E" w:rsidRPr="00BD5170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BD5170">
        <w:rPr>
          <w:rFonts w:ascii="Arial" w:hAnsi="Arial" w:cs="Arial"/>
          <w:color w:val="000000"/>
          <w:szCs w:val="22"/>
          <w:u w:color="000000"/>
        </w:rPr>
        <w:t>rysunek planu</w:t>
      </w:r>
    </w:p>
    <w:p w:rsidR="00A77B3E" w:rsidRPr="00BD5170" w:rsidRDefault="00187143" w:rsidP="000120D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color w:val="000000"/>
          <w:szCs w:val="22"/>
          <w:u w:color="000000"/>
        </w:rPr>
        <w:lastRenderedPageBreak/>
        <w:fldChar w:fldCharType="begin"/>
      </w:r>
      <w:r w:rsidRPr="00BD5170">
        <w:rPr>
          <w:rFonts w:ascii="Arial" w:hAnsi="Arial" w:cs="Arial"/>
          <w:color w:val="000000"/>
          <w:szCs w:val="22"/>
          <w:u w:color="000000"/>
        </w:rPr>
        <w:fldChar w:fldCharType="end"/>
      </w:r>
      <w:r w:rsidR="0013478F" w:rsidRPr="00BD5170">
        <w:rPr>
          <w:rFonts w:ascii="Arial" w:hAnsi="Arial" w:cs="Arial"/>
          <w:color w:val="000000"/>
          <w:szCs w:val="22"/>
          <w:u w:color="000000"/>
        </w:rPr>
        <w:t>Załącznik Nr 2 do uchwały Nr XXXI/261/2020</w:t>
      </w:r>
      <w:r w:rsidR="0013478F" w:rsidRPr="00BD5170">
        <w:rPr>
          <w:rFonts w:ascii="Arial" w:hAnsi="Arial" w:cs="Arial"/>
          <w:color w:val="000000"/>
          <w:szCs w:val="22"/>
          <w:u w:color="000000"/>
        </w:rPr>
        <w:br/>
        <w:t>Rady Gminy Kobylnica</w:t>
      </w:r>
      <w:r w:rsidR="0013478F" w:rsidRPr="00BD5170">
        <w:rPr>
          <w:rFonts w:ascii="Arial" w:hAnsi="Arial" w:cs="Arial"/>
          <w:color w:val="000000"/>
          <w:szCs w:val="22"/>
          <w:u w:color="000000"/>
        </w:rPr>
        <w:br/>
        <w:t>z dnia 17 grudnia 2020 r.</w:t>
      </w:r>
    </w:p>
    <w:p w:rsidR="00A77B3E" w:rsidRPr="00BD5170" w:rsidRDefault="0013478F" w:rsidP="000120D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color w:val="000000"/>
          <w:szCs w:val="22"/>
          <w:u w:color="000000"/>
        </w:rPr>
        <w:t>Rozstrzygnięcie o sposobie rozpatrzenia uwag do projektu zmiany miejscowego planu zagospodarowania przestrzennego wsi Kwakowo dla obszaru obejmującego działki nr 119/1, 119/2, 119/3 i 120 obręb Kwakowo</w:t>
      </w:r>
    </w:p>
    <w:p w:rsidR="00A77B3E" w:rsidRPr="00BD5170" w:rsidRDefault="0013478F" w:rsidP="000120D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  <w:sectPr w:rsidR="00A77B3E" w:rsidRPr="00BD5170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BD5170">
        <w:rPr>
          <w:rFonts w:ascii="Arial" w:hAnsi="Arial" w:cs="Arial"/>
          <w:color w:val="000000"/>
          <w:szCs w:val="22"/>
          <w:u w:color="000000"/>
        </w:rPr>
        <w:t>W okresie wyłożenia do publicznego wglądu projektu zmiany miejscowego planu zagospodarowania przestrzennego wsi Kwakowo dla obszaru obejmującego działki nr 119/1, 119/2, 119/3 i 120 obręb Kwakowo, które odbyło się w dniach od 2 września 2020 r. do 28 września 2020 r. oraz w wyznaczonym terminie tj. do dnia 12 października 2020 r. do projektu zmiany planu miejscowego nie wniesiono uwag, o których mowa w art. 18 ustawy z dnia 27 marca 2003 r. o planowaniu i zagospodarowaniu przestrzennym (j.t. Dz. U. z 2020 r. poz. 293 ze zm.).</w:t>
      </w:r>
    </w:p>
    <w:p w:rsidR="00A77B3E" w:rsidRPr="00BD5170" w:rsidRDefault="00187143" w:rsidP="000120D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color w:val="000000"/>
          <w:szCs w:val="22"/>
          <w:u w:color="000000"/>
        </w:rPr>
        <w:lastRenderedPageBreak/>
        <w:fldChar w:fldCharType="begin"/>
      </w:r>
      <w:r w:rsidRPr="00BD5170">
        <w:rPr>
          <w:rFonts w:ascii="Arial" w:hAnsi="Arial" w:cs="Arial"/>
          <w:color w:val="000000"/>
          <w:szCs w:val="22"/>
          <w:u w:color="000000"/>
        </w:rPr>
        <w:fldChar w:fldCharType="end"/>
      </w:r>
      <w:r w:rsidR="0013478F" w:rsidRPr="00BD5170">
        <w:rPr>
          <w:rFonts w:ascii="Arial" w:hAnsi="Arial" w:cs="Arial"/>
          <w:color w:val="000000"/>
          <w:szCs w:val="22"/>
          <w:u w:color="000000"/>
        </w:rPr>
        <w:t>Załącznik Nr 3 do uchwały Nr XXXI/261/2020</w:t>
      </w:r>
      <w:r w:rsidR="0013478F" w:rsidRPr="00BD5170">
        <w:rPr>
          <w:rFonts w:ascii="Arial" w:hAnsi="Arial" w:cs="Arial"/>
          <w:color w:val="000000"/>
          <w:szCs w:val="22"/>
          <w:u w:color="000000"/>
        </w:rPr>
        <w:br/>
        <w:t>Rady Gminy Kobylnica</w:t>
      </w:r>
      <w:r w:rsidR="0013478F" w:rsidRPr="00BD5170">
        <w:rPr>
          <w:rFonts w:ascii="Arial" w:hAnsi="Arial" w:cs="Arial"/>
          <w:color w:val="000000"/>
          <w:szCs w:val="22"/>
          <w:u w:color="000000"/>
        </w:rPr>
        <w:br/>
        <w:t>z dnia 17 grudnia 2020 r.</w:t>
      </w:r>
    </w:p>
    <w:p w:rsidR="00A77B3E" w:rsidRPr="00BD5170" w:rsidRDefault="0013478F" w:rsidP="000120D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color w:val="000000"/>
          <w:szCs w:val="22"/>
          <w:u w:color="000000"/>
        </w:rPr>
        <w:t>Rozstrzygnięcie o sposobie realizacji, zapisanych w zmianie miejscowego planu zagospodarowania przestrzennego wsi Kwakowo dla obszaru obejmującego działki nr 119/1, 119/2, 119/3 i 120 obręb Kwakowo, inwestycji z zakresu infrastruktury technicznej, które należą do zadań własnych gminy, oraz zasadach ich finansowania, zgodnie z przepisami o finansach publicznych</w:t>
      </w:r>
    </w:p>
    <w:p w:rsidR="00A77B3E" w:rsidRPr="00BD5170" w:rsidRDefault="0013478F" w:rsidP="000120D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  <w:sectPr w:rsidR="00A77B3E" w:rsidRPr="00BD5170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BD5170">
        <w:rPr>
          <w:rFonts w:ascii="Arial" w:hAnsi="Arial" w:cs="Arial"/>
          <w:color w:val="000000"/>
          <w:szCs w:val="22"/>
          <w:u w:color="000000"/>
        </w:rPr>
        <w:t>Na podstawie art. 20 ust. 1 ustawy z dnia 27 marca 2003 r. o planowaniu i zagospodarowaniu przestrzennym (j.t. Dz. U. z 2020 r. poz. 293 ze zm.) Rada Gminy rozstrzyga, że zgodnie z ustaleniami zmiany miejscowego planu zagospodarowania przestrzennego wsi Kwakowo dla obszaru obejmującego działki nr 119/1, 119/2, 119/3 i 120 obręb Kwakowo, inwestycje z zakresu infrastruktury technicznej, należące do zadań własnych gminy, będą realizowane sukcesywnie z budżetu gminy oraz innych źródeł finansowania, zgodnie z przepisami o finansach publicznych.</w:t>
      </w:r>
    </w:p>
    <w:p w:rsidR="00A77B3E" w:rsidRPr="00BD5170" w:rsidRDefault="00187143" w:rsidP="000120D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color w:val="000000"/>
          <w:szCs w:val="22"/>
          <w:u w:color="000000"/>
        </w:rPr>
        <w:lastRenderedPageBreak/>
        <w:fldChar w:fldCharType="begin"/>
      </w:r>
      <w:r w:rsidRPr="00BD5170">
        <w:rPr>
          <w:rFonts w:ascii="Arial" w:hAnsi="Arial" w:cs="Arial"/>
          <w:color w:val="000000"/>
          <w:szCs w:val="22"/>
          <w:u w:color="000000"/>
        </w:rPr>
        <w:fldChar w:fldCharType="end"/>
      </w:r>
      <w:r w:rsidR="0013478F" w:rsidRPr="00BD5170">
        <w:rPr>
          <w:rFonts w:ascii="Arial" w:hAnsi="Arial" w:cs="Arial"/>
          <w:szCs w:val="22"/>
        </w:rPr>
        <w:t>Załącznik Nr 4 do uchwały</w:t>
      </w:r>
      <w:r w:rsidR="0013478F" w:rsidRPr="00BD5170">
        <w:rPr>
          <w:rFonts w:ascii="Arial" w:hAnsi="Arial" w:cs="Arial"/>
          <w:color w:val="000000"/>
          <w:szCs w:val="22"/>
          <w:u w:color="000000"/>
        </w:rPr>
        <w:t xml:space="preserve"> Nr XXXI/261/2020</w:t>
      </w:r>
      <w:r w:rsidR="0013478F" w:rsidRPr="00BD5170">
        <w:rPr>
          <w:rFonts w:ascii="Arial" w:hAnsi="Arial" w:cs="Arial"/>
          <w:color w:val="000000"/>
          <w:szCs w:val="22"/>
          <w:u w:color="000000"/>
        </w:rPr>
        <w:br/>
      </w:r>
      <w:r w:rsidR="0013478F" w:rsidRPr="00BD5170">
        <w:rPr>
          <w:rFonts w:ascii="Arial" w:hAnsi="Arial" w:cs="Arial"/>
          <w:szCs w:val="22"/>
        </w:rPr>
        <w:t>Rady Gminy Kobylnica</w:t>
      </w:r>
      <w:r w:rsidR="0013478F" w:rsidRPr="00BD5170">
        <w:rPr>
          <w:rFonts w:ascii="Arial" w:hAnsi="Arial" w:cs="Arial"/>
          <w:color w:val="000000"/>
          <w:szCs w:val="22"/>
          <w:u w:color="000000"/>
        </w:rPr>
        <w:br/>
      </w:r>
      <w:r w:rsidR="0013478F" w:rsidRPr="00BD5170">
        <w:rPr>
          <w:rFonts w:ascii="Arial" w:hAnsi="Arial" w:cs="Arial"/>
          <w:szCs w:val="22"/>
        </w:rPr>
        <w:t>z dnia 17 grudnia 2020 r.</w:t>
      </w:r>
      <w:r w:rsidR="0013478F" w:rsidRPr="00BD5170">
        <w:rPr>
          <w:rFonts w:ascii="Arial" w:hAnsi="Arial" w:cs="Arial"/>
          <w:color w:val="000000"/>
          <w:szCs w:val="22"/>
          <w:u w:color="000000"/>
        </w:rPr>
        <w:br/>
      </w:r>
      <w:hyperlink r:id="rId11" w:history="1">
        <w:r w:rsidR="0013478F" w:rsidRPr="00BD5170">
          <w:rPr>
            <w:rStyle w:val="Hipercze"/>
            <w:rFonts w:ascii="Arial" w:hAnsi="Arial" w:cs="Arial"/>
            <w:color w:val="000000"/>
            <w:szCs w:val="22"/>
            <w:u w:val="none" w:color="000000"/>
          </w:rPr>
          <w:t>Zalacznik4.xml</w:t>
        </w:r>
      </w:hyperlink>
    </w:p>
    <w:p w:rsidR="00A77B3E" w:rsidRPr="00BD5170" w:rsidRDefault="0013478F" w:rsidP="000120D0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D5170">
        <w:rPr>
          <w:rFonts w:ascii="Arial" w:hAnsi="Arial" w:cs="Arial"/>
          <w:color w:val="000000"/>
          <w:szCs w:val="22"/>
          <w:u w:color="000000"/>
        </w:rPr>
        <w:t>Dane przestrzenne</w:t>
      </w:r>
    </w:p>
    <w:sectPr w:rsidR="00A77B3E" w:rsidRPr="00BD5170" w:rsidSect="00187143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390" w:rsidRDefault="00572390">
      <w:r>
        <w:separator/>
      </w:r>
    </w:p>
  </w:endnote>
  <w:endnote w:type="continuationSeparator" w:id="0">
    <w:p w:rsidR="00572390" w:rsidRDefault="0057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90" w:rsidRDefault="0057239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90" w:rsidRDefault="0057239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90" w:rsidRDefault="00572390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90" w:rsidRDefault="0057239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390" w:rsidRDefault="00572390">
      <w:r>
        <w:separator/>
      </w:r>
    </w:p>
  </w:footnote>
  <w:footnote w:type="continuationSeparator" w:id="0">
    <w:p w:rsidR="00572390" w:rsidRDefault="00572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857"/>
    <w:multiLevelType w:val="hybridMultilevel"/>
    <w:tmpl w:val="303A87FE"/>
    <w:lvl w:ilvl="0" w:tplc="BBC62D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226B"/>
    <w:multiLevelType w:val="hybridMultilevel"/>
    <w:tmpl w:val="E40C267A"/>
    <w:lvl w:ilvl="0" w:tplc="BBC62D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7458E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458EFC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844A4"/>
    <w:multiLevelType w:val="hybridMultilevel"/>
    <w:tmpl w:val="135E5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52EF"/>
    <w:multiLevelType w:val="hybridMultilevel"/>
    <w:tmpl w:val="D86A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632C7"/>
    <w:multiLevelType w:val="hybridMultilevel"/>
    <w:tmpl w:val="6AFC9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2305D"/>
    <w:multiLevelType w:val="hybridMultilevel"/>
    <w:tmpl w:val="32FC4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F7DFA"/>
    <w:multiLevelType w:val="hybridMultilevel"/>
    <w:tmpl w:val="64F44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359A2"/>
    <w:multiLevelType w:val="hybridMultilevel"/>
    <w:tmpl w:val="D818AFBA"/>
    <w:lvl w:ilvl="0" w:tplc="BBC62D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17E4E"/>
    <w:multiLevelType w:val="hybridMultilevel"/>
    <w:tmpl w:val="40FEC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12AA9"/>
    <w:multiLevelType w:val="hybridMultilevel"/>
    <w:tmpl w:val="AE928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74A07"/>
    <w:multiLevelType w:val="hybridMultilevel"/>
    <w:tmpl w:val="38DC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23CC1"/>
    <w:multiLevelType w:val="hybridMultilevel"/>
    <w:tmpl w:val="0030A4D0"/>
    <w:lvl w:ilvl="0" w:tplc="BBC62D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309E"/>
    <w:multiLevelType w:val="hybridMultilevel"/>
    <w:tmpl w:val="AF42F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A75FD"/>
    <w:multiLevelType w:val="hybridMultilevel"/>
    <w:tmpl w:val="9A621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20D0"/>
    <w:rsid w:val="000A5E19"/>
    <w:rsid w:val="0013478F"/>
    <w:rsid w:val="00187143"/>
    <w:rsid w:val="002A7E61"/>
    <w:rsid w:val="00572390"/>
    <w:rsid w:val="00716A55"/>
    <w:rsid w:val="008F1CAB"/>
    <w:rsid w:val="00953D1F"/>
    <w:rsid w:val="00A77B3E"/>
    <w:rsid w:val="00AC20FB"/>
    <w:rsid w:val="00BD5170"/>
    <w:rsid w:val="00CA2A55"/>
    <w:rsid w:val="00ED31FC"/>
    <w:rsid w:val="00F3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143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1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D51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BD5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5170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D5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5170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Zalacznik1.pdf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Zalacznik4.xm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2726</Words>
  <Characters>17158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XXXI/261/2020 z dnia 17 grudnia 2020 r.</vt:lpstr>
      <vt:lpstr/>
    </vt:vector>
  </TitlesOfParts>
  <Company>Rada Gminy Kobylnica</Company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XXXI/261/2020 z dnia 17 grudnia 2020 r.</dc:title>
  <dc:subject/>
  <dc:creator>Ja</dc:creator>
  <cp:keywords>Uchwała, Kobylnica</cp:keywords>
  <cp:lastModifiedBy>UGK</cp:lastModifiedBy>
  <cp:revision>7</cp:revision>
  <dcterms:created xsi:type="dcterms:W3CDTF">2020-12-22T12:39:00Z</dcterms:created>
  <dcterms:modified xsi:type="dcterms:W3CDTF">2020-12-29T11:49:00Z</dcterms:modified>
  <cp:category>Akt prawny</cp:category>
</cp:coreProperties>
</file>