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0C3E" w14:textId="4E80A3BE" w:rsidR="001868E5" w:rsidRPr="005B45DF" w:rsidRDefault="00984BB0" w:rsidP="005B45DF">
      <w:pPr>
        <w:pStyle w:val="Nagwek1"/>
        <w:spacing w:before="0" w:after="120" w:line="276" w:lineRule="auto"/>
        <w:jc w:val="left"/>
        <w:rPr>
          <w:rFonts w:ascii="Arial" w:hAnsi="Arial" w:cs="Arial"/>
          <w:b/>
          <w:bCs/>
          <w:caps/>
          <w:color w:val="auto"/>
          <w:sz w:val="22"/>
          <w:szCs w:val="22"/>
        </w:rPr>
      </w:pPr>
      <w:r w:rsidRPr="005B45DF">
        <w:rPr>
          <w:rFonts w:ascii="Arial" w:hAnsi="Arial" w:cs="Arial"/>
          <w:b/>
          <w:bCs/>
          <w:color w:val="auto"/>
          <w:sz w:val="22"/>
          <w:szCs w:val="22"/>
        </w:rPr>
        <w:t>Uchwała Nr LIV/495/2022</w:t>
      </w:r>
      <w:r w:rsidRPr="005B45DF">
        <w:rPr>
          <w:rFonts w:ascii="Arial" w:hAnsi="Arial" w:cs="Arial"/>
          <w:b/>
          <w:bCs/>
          <w:color w:val="auto"/>
          <w:sz w:val="22"/>
          <w:szCs w:val="22"/>
        </w:rPr>
        <w:br/>
        <w:t>Rady Gminy Kobylnica</w:t>
      </w:r>
      <w:r w:rsidR="001868E5" w:rsidRPr="005B45DF">
        <w:rPr>
          <w:rFonts w:ascii="Arial" w:hAnsi="Arial" w:cs="Arial"/>
          <w:b/>
          <w:bCs/>
          <w:color w:val="auto"/>
          <w:sz w:val="22"/>
          <w:szCs w:val="22"/>
        </w:rPr>
        <w:t xml:space="preserve"> z dnia 22 września 2022 r.</w:t>
      </w:r>
    </w:p>
    <w:p w14:paraId="1EE61E26" w14:textId="77777777" w:rsidR="00A77B3E" w:rsidRPr="005B45DF" w:rsidRDefault="00984BB0" w:rsidP="005B45DF">
      <w:pPr>
        <w:pStyle w:val="Tytu"/>
        <w:spacing w:after="120" w:line="276" w:lineRule="auto"/>
        <w:jc w:val="left"/>
        <w:rPr>
          <w:rFonts w:ascii="Arial" w:hAnsi="Arial" w:cs="Arial"/>
          <w:b/>
          <w:bCs/>
          <w:sz w:val="22"/>
          <w:szCs w:val="22"/>
        </w:rPr>
      </w:pPr>
      <w:r w:rsidRPr="005B45DF">
        <w:rPr>
          <w:rFonts w:ascii="Arial" w:hAnsi="Arial" w:cs="Arial"/>
          <w:b/>
          <w:bCs/>
          <w:sz w:val="22"/>
          <w:szCs w:val="22"/>
        </w:rPr>
        <w:t>w sprawie uchwalenia miejscowego planu zagospodarowania przestrzennego</w:t>
      </w:r>
      <w:r w:rsidRPr="005B45DF">
        <w:rPr>
          <w:rFonts w:ascii="Arial" w:hAnsi="Arial" w:cs="Arial"/>
          <w:b/>
          <w:bCs/>
          <w:sz w:val="22"/>
          <w:szCs w:val="22"/>
        </w:rPr>
        <w:br/>
        <w:t>dla części działek nr 893/1, 893/2 oraz 893/3, położonych w obrębie Kobylnica, gmina Kobylnica</w:t>
      </w:r>
    </w:p>
    <w:p w14:paraId="7D1F6534" w14:textId="77777777" w:rsidR="00A77B3E" w:rsidRPr="005B45DF" w:rsidRDefault="00984BB0" w:rsidP="005B45DF">
      <w:pPr>
        <w:keepLines/>
        <w:spacing w:before="120" w:after="120" w:line="276" w:lineRule="auto"/>
        <w:ind w:firstLine="227"/>
        <w:jc w:val="left"/>
        <w:rPr>
          <w:rFonts w:ascii="Arial" w:hAnsi="Arial" w:cs="Arial"/>
          <w:szCs w:val="22"/>
        </w:rPr>
      </w:pPr>
      <w:r w:rsidRPr="005B45DF">
        <w:rPr>
          <w:rFonts w:ascii="Arial" w:hAnsi="Arial" w:cs="Arial"/>
          <w:szCs w:val="22"/>
        </w:rPr>
        <w:t>Na podstawie art. 18 ust. 2 pkt. 5 w zw. z art. 40 ust. 1 ustawy z dnia 8 marca 1990 r. o samorządzie gminnym (</w:t>
      </w:r>
      <w:proofErr w:type="spellStart"/>
      <w:r w:rsidRPr="005B45DF">
        <w:rPr>
          <w:rFonts w:ascii="Arial" w:hAnsi="Arial" w:cs="Arial"/>
          <w:szCs w:val="22"/>
        </w:rPr>
        <w:t>t.j</w:t>
      </w:r>
      <w:proofErr w:type="spellEnd"/>
      <w:r w:rsidRPr="005B45DF">
        <w:rPr>
          <w:rFonts w:ascii="Arial" w:hAnsi="Arial" w:cs="Arial"/>
          <w:szCs w:val="22"/>
        </w:rPr>
        <w:t>. Dz. U. z 2022 r. poz. 559; zm.: Dz. U. z 2022 r. poz. 1005 i poz. 1079) i art. 20 ust. 1 ustawy z dnia 27 marca 2003 r. o planowaniu i zagospodarowaniu przestrzennym (</w:t>
      </w:r>
      <w:proofErr w:type="spellStart"/>
      <w:r w:rsidRPr="005B45DF">
        <w:rPr>
          <w:rFonts w:ascii="Arial" w:hAnsi="Arial" w:cs="Arial"/>
          <w:szCs w:val="22"/>
        </w:rPr>
        <w:t>t.j</w:t>
      </w:r>
      <w:proofErr w:type="spellEnd"/>
      <w:r w:rsidRPr="005B45DF">
        <w:rPr>
          <w:rFonts w:ascii="Arial" w:hAnsi="Arial" w:cs="Arial"/>
          <w:szCs w:val="22"/>
        </w:rPr>
        <w:t>. Dz. U. z 2022 r. poz. 503), Rada Gminy Kobylnica uchwala, co następuje:</w:t>
      </w:r>
    </w:p>
    <w:p w14:paraId="387A6E15"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1. </w:t>
      </w:r>
      <w:r w:rsidRPr="005B45DF">
        <w:rPr>
          <w:rFonts w:ascii="Arial" w:hAnsi="Arial" w:cs="Arial"/>
          <w:szCs w:val="22"/>
        </w:rPr>
        <w:t>1. Zgodnie z Uchwałą Nr XLIV/394/2021 Rady Gminy Kobylnica, z dnia 30 grudnia 2021 roku w sprawie przystąpienia do sporządzenia miejscowego planu zagospodarowania przestrzennego dla części działek nr 893/1, 893/2 oraz 893/3, położonych w obrębie Kobylnica, gmina Kobylnica, po stwierdzeniu braku naruszenia ustaleń „Studium uwarunkowań i kierunków zagospodarowania przestrzennego gminy Kobylnica” uchwalonego uchwałą Nr III/25/2002 Rady Gminy Kobylnica z dnia 30 grudnia 2002 r., zmienionego uchwałami Nr XL/527/2010 Rady Gminy Kobylnica z dnia 16 lutego 2010 r., Nr XLIV/413/2014 Rady Gminy Kobylnica z dnia 6 lutego 2014 r. i Nr XXIV/203/2016 Rady Gminy Kobylnica z dnia 25 lutego 2016 r., uchwala się miejscowy plan zagospodarowania przestrzennego dla części działek nr 893/1, 893/2 oraz 893/3, położonych w obrębie Kobylnica, gmina Kobylnica.</w:t>
      </w:r>
    </w:p>
    <w:p w14:paraId="4BDDEE93"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Miejscowy plan zagospodarowania przestrzennego dla części działek nr 893/1, 893/2 oraz 893/3, położonych w obrębie Kobylnica, gmina Kobylnica, zwany dalej planem, obejmuje obszar o powierzchni około 55 ha, którego granice określono na załączniku nr 1 do niniejszej uchwały.</w:t>
      </w:r>
    </w:p>
    <w:p w14:paraId="1C165A2B"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2. </w:t>
      </w:r>
      <w:r w:rsidRPr="005B45DF">
        <w:rPr>
          <w:rFonts w:ascii="Arial" w:hAnsi="Arial" w:cs="Arial"/>
          <w:color w:val="000000"/>
          <w:szCs w:val="22"/>
          <w:u w:color="000000"/>
        </w:rPr>
        <w:t>Integralnymi częściami uchwały są:</w:t>
      </w:r>
    </w:p>
    <w:p w14:paraId="208DD227"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rysunek planu w skali 1:2000, stanowiący załączniki nr 1;</w:t>
      </w:r>
    </w:p>
    <w:p w14:paraId="7BC3F449"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rozstrzygnięcie o sposobie rozpatrzenia uwag wniesionych do wyłożonego do publicznego wglądu projektu planu, stanowiące załącznik nr 2;</w:t>
      </w:r>
    </w:p>
    <w:p w14:paraId="277F97B9"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rozstrzygnięcie o sposobie realizacji, zapisanych w planie, inwestycji z zakresu infrastruktury technicznej, które należą do zadań własnych gminy oraz zasadach ich finansowania, zgodnie z przepisami o finansach publicznych, stanowiące załącznik nr 3;</w:t>
      </w:r>
    </w:p>
    <w:p w14:paraId="64EC49C7"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4) </w:t>
      </w:r>
      <w:r w:rsidRPr="005B45DF">
        <w:rPr>
          <w:rFonts w:ascii="Arial" w:hAnsi="Arial" w:cs="Arial"/>
          <w:color w:val="000000"/>
          <w:szCs w:val="22"/>
          <w:u w:color="000000"/>
        </w:rPr>
        <w:t>dane przestrzenne, o których mowa w art. 67a ustawy z dnia 27 marca 2003r. o planowaniu i zagospodarowaniu przestrzennym, stanowiące załącznik nr 4.</w:t>
      </w:r>
    </w:p>
    <w:p w14:paraId="57D752A0"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3. </w:t>
      </w:r>
      <w:r w:rsidRPr="005B45DF">
        <w:rPr>
          <w:rFonts w:ascii="Arial" w:hAnsi="Arial" w:cs="Arial"/>
          <w:color w:val="000000"/>
          <w:szCs w:val="22"/>
          <w:u w:color="000000"/>
        </w:rPr>
        <w:t>Na obszarze objętym planem nie występują uwarunkowania wymagające ustaleń w zakresie:</w:t>
      </w:r>
    </w:p>
    <w:p w14:paraId="7A899D36"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zasad ochrony i kształtowania ładu przestrzennego;</w:t>
      </w:r>
    </w:p>
    <w:p w14:paraId="0C611FB3"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zasad ochrony dziedzictwa kulturowego i zabytków, w tym krajobrazów kulturowych oraz dóbr kultury współczesnej;</w:t>
      </w:r>
    </w:p>
    <w:p w14:paraId="0509CBE8"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wymagań wynikających z potrzeb kształtowania przestrzeni publicznych;</w:t>
      </w:r>
    </w:p>
    <w:p w14:paraId="63E02765"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4) </w:t>
      </w:r>
      <w:r w:rsidRPr="005B45DF">
        <w:rPr>
          <w:rFonts w:ascii="Arial" w:hAnsi="Arial" w:cs="Arial"/>
          <w:color w:val="000000"/>
          <w:szCs w:val="22"/>
          <w:u w:color="000000"/>
        </w:rPr>
        <w:t>granic i sposobów zagospodarowania terenów górniczych, a także obszarów szczególnego zagrożenia powodzią, obszarów osuwania się mas ziemnych, krajobrazów priorytetowych określonych w audycie krajobrazowym oraz w planach zagospodarowania przestrzennego województwa;</w:t>
      </w:r>
    </w:p>
    <w:p w14:paraId="29543CA9"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5) </w:t>
      </w:r>
      <w:r w:rsidRPr="005B45DF">
        <w:rPr>
          <w:rFonts w:ascii="Arial" w:hAnsi="Arial" w:cs="Arial"/>
          <w:color w:val="000000"/>
          <w:szCs w:val="22"/>
          <w:u w:color="000000"/>
        </w:rPr>
        <w:t>sposobu i terminu tymczasowego zagospodarowania, urządzania i użytkowania terenów.</w:t>
      </w:r>
    </w:p>
    <w:p w14:paraId="1FA7F99C"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4. </w:t>
      </w:r>
      <w:r w:rsidRPr="005B45DF">
        <w:rPr>
          <w:rFonts w:ascii="Arial" w:hAnsi="Arial" w:cs="Arial"/>
          <w:color w:val="000000"/>
          <w:szCs w:val="22"/>
          <w:u w:color="000000"/>
        </w:rPr>
        <w:t>Ilekroć w dalszych przepisach uchwały jest mowa o:</w:t>
      </w:r>
    </w:p>
    <w:p w14:paraId="0A1FA3D3"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lastRenderedPageBreak/>
        <w:t>1) </w:t>
      </w:r>
      <w:r w:rsidRPr="005B45DF">
        <w:rPr>
          <w:rFonts w:ascii="Arial" w:hAnsi="Arial" w:cs="Arial"/>
          <w:b/>
          <w:color w:val="000000"/>
          <w:szCs w:val="22"/>
          <w:u w:color="000000"/>
        </w:rPr>
        <w:t xml:space="preserve">dachu płaskim </w:t>
      </w:r>
      <w:r w:rsidRPr="005B45DF">
        <w:rPr>
          <w:rFonts w:ascii="Arial" w:hAnsi="Arial" w:cs="Arial"/>
          <w:color w:val="000000"/>
          <w:szCs w:val="22"/>
          <w:u w:color="000000"/>
        </w:rPr>
        <w:t>–  należy przez to rozumieć dach o kącie nachylenia połaci do 12 stopni;</w:t>
      </w:r>
    </w:p>
    <w:p w14:paraId="7ADC9A6F"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b/>
          <w:color w:val="000000"/>
          <w:szCs w:val="22"/>
          <w:u w:color="000000"/>
        </w:rPr>
        <w:t>działaniach inwestycyjnych</w:t>
      </w:r>
      <w:r w:rsidRPr="005B45DF">
        <w:rPr>
          <w:rFonts w:ascii="Arial" w:hAnsi="Arial" w:cs="Arial"/>
          <w:color w:val="000000"/>
          <w:szCs w:val="22"/>
          <w:u w:color="000000"/>
        </w:rPr>
        <w:t xml:space="preserve"> – należy przez to rozumieć wszelkie działania w obrębie działki budowlanej wymagające uzyskania pozwolenia na budowę, zgłoszenia budowy lub wykonania innych robót budowlanych, a także uzyskania innych zgód wymaganych obowiązującymi przepisami prawa;</w:t>
      </w:r>
    </w:p>
    <w:p w14:paraId="7C1D8AC8"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b/>
          <w:color w:val="000000"/>
          <w:szCs w:val="22"/>
          <w:u w:color="000000"/>
        </w:rPr>
        <w:t xml:space="preserve">miejscach parkingowych </w:t>
      </w:r>
      <w:r w:rsidRPr="005B45DF">
        <w:rPr>
          <w:rFonts w:ascii="Arial" w:hAnsi="Arial" w:cs="Arial"/>
          <w:color w:val="000000"/>
          <w:szCs w:val="22"/>
          <w:u w:color="000000"/>
        </w:rPr>
        <w:t xml:space="preserve">– należy przez to rozumieć miejsca przeznaczone na postój pojazdów, wyznaczone w obrębie działki budowlanej, objętej działaniami inwestycyjnymi; </w:t>
      </w:r>
    </w:p>
    <w:p w14:paraId="1462219B"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4) </w:t>
      </w:r>
      <w:r w:rsidRPr="005B45DF">
        <w:rPr>
          <w:rFonts w:ascii="Arial" w:hAnsi="Arial" w:cs="Arial"/>
          <w:b/>
          <w:color w:val="000000"/>
          <w:szCs w:val="22"/>
          <w:u w:color="000000"/>
        </w:rPr>
        <w:t xml:space="preserve">nieprzekraczalnej linii zabudowy </w:t>
      </w:r>
      <w:r w:rsidRPr="005B45DF">
        <w:rPr>
          <w:rFonts w:ascii="Arial" w:hAnsi="Arial" w:cs="Arial"/>
          <w:color w:val="000000"/>
          <w:szCs w:val="22"/>
          <w:u w:color="000000"/>
        </w:rPr>
        <w:t xml:space="preserve">– należy przez to rozumieć linię, poza którą wyklucza się lokalizację budynków, kontenerowych obiektów infrastruktury technicznej oraz konstrukcji, na których posadowione są urządzenia fotowoltaiczne; </w:t>
      </w:r>
    </w:p>
    <w:p w14:paraId="13AFF008"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5) </w:t>
      </w:r>
      <w:r w:rsidRPr="005B45DF">
        <w:rPr>
          <w:rFonts w:ascii="Arial" w:hAnsi="Arial" w:cs="Arial"/>
          <w:b/>
          <w:color w:val="000000"/>
          <w:szCs w:val="22"/>
          <w:u w:color="000000"/>
        </w:rPr>
        <w:t>powierzchni biologicznie czynnej</w:t>
      </w:r>
      <w:r w:rsidRPr="005B45DF">
        <w:rPr>
          <w:rFonts w:ascii="Arial" w:hAnsi="Arial" w:cs="Arial"/>
          <w:color w:val="000000"/>
          <w:szCs w:val="22"/>
          <w:u w:color="000000"/>
        </w:rPr>
        <w:t xml:space="preserve"> – należy przez to rozumieć teren biologicznie czynny, którego definicja zawarta jest w przepisach dotyczących warunków technicznych jakim powinny odpowiadać budynki i ich usytuowanie;</w:t>
      </w:r>
    </w:p>
    <w:p w14:paraId="5F9829A3"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6) </w:t>
      </w:r>
      <w:r w:rsidRPr="005B45DF">
        <w:rPr>
          <w:rFonts w:ascii="Arial" w:hAnsi="Arial" w:cs="Arial"/>
          <w:b/>
          <w:color w:val="000000"/>
          <w:szCs w:val="22"/>
          <w:u w:color="000000"/>
        </w:rPr>
        <w:t xml:space="preserve">powierzchni zabudowy </w:t>
      </w:r>
      <w:r w:rsidRPr="005B45DF">
        <w:rPr>
          <w:rFonts w:ascii="Arial" w:hAnsi="Arial" w:cs="Arial"/>
          <w:color w:val="000000"/>
          <w:szCs w:val="22"/>
          <w:u w:color="000000"/>
        </w:rPr>
        <w:t>– należy przez to rozumieć powierzchnię wyznaczoną przez rzut pionowy zewnętrznych krawędzi wszystkich budynków zlokalizowanych w granicach działki budowlanej na powierzchnię tej działki. Do powierzchni zabudowy wlicza się również powierzchnię zajętą pod konstrukcję, na której zlokalizowane są panele fotowoltaiczne, liczoną jako rzut prostokątny zewnętrznych krawędzi tej konstrukcji wraz z panelami fotowoltaicznymi na powierzchnię tej działki budowlanej. Powierzchnia zabudowy określona jest w stosunku do powierzchni działki budowlanej;</w:t>
      </w:r>
    </w:p>
    <w:p w14:paraId="6B823E09"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7) </w:t>
      </w:r>
      <w:r w:rsidRPr="005B45DF">
        <w:rPr>
          <w:rFonts w:ascii="Arial" w:hAnsi="Arial" w:cs="Arial"/>
          <w:b/>
          <w:color w:val="000000"/>
          <w:szCs w:val="22"/>
          <w:u w:color="000000"/>
        </w:rPr>
        <w:t xml:space="preserve">urządzeniu fotowoltaicznym </w:t>
      </w:r>
      <w:r w:rsidRPr="005B45DF">
        <w:rPr>
          <w:rFonts w:ascii="Arial" w:hAnsi="Arial" w:cs="Arial"/>
          <w:color w:val="000000"/>
          <w:szCs w:val="22"/>
          <w:u w:color="000000"/>
        </w:rPr>
        <w:t>– należy przez to rozumieć urządzenie składające się z połączonych ze sobą ogniw fotowoltaicznych, służące do wytwarzania energii elektrycznej poprzez konwersję promieni słonecznych.</w:t>
      </w:r>
    </w:p>
    <w:p w14:paraId="7E92C7B7"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5. </w:t>
      </w:r>
      <w:r w:rsidRPr="005B45DF">
        <w:rPr>
          <w:rFonts w:ascii="Arial" w:hAnsi="Arial" w:cs="Arial"/>
          <w:color w:val="000000"/>
          <w:szCs w:val="22"/>
          <w:u w:color="000000"/>
        </w:rPr>
        <w:t>Następujące oznaczenia graficzne na rysunku planu, stanowią obowiązujące ustalenie planu:</w:t>
      </w:r>
    </w:p>
    <w:p w14:paraId="6004BFC6"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granica obszaru objętego planem;</w:t>
      </w:r>
    </w:p>
    <w:p w14:paraId="313DF85B"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linie rozgraniczające tereny o różnym przeznaczeniu lub różnych zasadach zagospodarowania;</w:t>
      </w:r>
    </w:p>
    <w:p w14:paraId="316D8457"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symbol literowy oznaczający przeznaczenie terenu;</w:t>
      </w:r>
    </w:p>
    <w:p w14:paraId="517AC9CF"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4) </w:t>
      </w:r>
      <w:r w:rsidRPr="005B45DF">
        <w:rPr>
          <w:rFonts w:ascii="Arial" w:hAnsi="Arial" w:cs="Arial"/>
          <w:color w:val="000000"/>
          <w:szCs w:val="22"/>
          <w:u w:color="000000"/>
        </w:rPr>
        <w:t>nieprzekraczalne linie zabudowy.</w:t>
      </w:r>
    </w:p>
    <w:p w14:paraId="6E9CD99F"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6. </w:t>
      </w:r>
      <w:r w:rsidRPr="005B45DF">
        <w:rPr>
          <w:rFonts w:ascii="Arial" w:hAnsi="Arial" w:cs="Arial"/>
          <w:color w:val="000000"/>
          <w:szCs w:val="22"/>
          <w:u w:color="000000"/>
        </w:rPr>
        <w:t xml:space="preserve">Obszar planu obejmuje jeden teren wyznaczony liniami rozgraniczającymi tereny o różnym przeznaczeniu i różnych zasadach zagospodarowania, oznaczony na rysunku planu symbolem literowym </w:t>
      </w:r>
      <w:r w:rsidRPr="005B45DF">
        <w:rPr>
          <w:rFonts w:ascii="Arial" w:hAnsi="Arial" w:cs="Arial"/>
          <w:b/>
          <w:color w:val="000000"/>
          <w:szCs w:val="22"/>
          <w:u w:color="000000"/>
        </w:rPr>
        <w:t>PEF-RN</w:t>
      </w:r>
      <w:r w:rsidRPr="005B45DF">
        <w:rPr>
          <w:rFonts w:ascii="Arial" w:hAnsi="Arial" w:cs="Arial"/>
          <w:color w:val="000000"/>
          <w:szCs w:val="22"/>
          <w:u w:color="000000"/>
        </w:rPr>
        <w:t xml:space="preserve">, oznaczającym jego przeznaczenie, tj. teren elektrowni słonecznej lub rolnictwa z zakazem zabudowy. </w:t>
      </w:r>
    </w:p>
    <w:p w14:paraId="12559749"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7. </w:t>
      </w:r>
      <w:r w:rsidRPr="005B45DF">
        <w:rPr>
          <w:rFonts w:ascii="Arial" w:hAnsi="Arial" w:cs="Arial"/>
          <w:color w:val="000000"/>
          <w:szCs w:val="22"/>
          <w:u w:color="000000"/>
        </w:rPr>
        <w:t>W zakresie zasad ochrony środowiska, przyrody i krajobrazu oraz zasad kształtowania krajobrazu ustala się:</w:t>
      </w:r>
    </w:p>
    <w:p w14:paraId="78997BFF"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nakaz:</w:t>
      </w:r>
    </w:p>
    <w:p w14:paraId="3336D37C"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a) </w:t>
      </w:r>
      <w:r w:rsidRPr="005B45DF">
        <w:rPr>
          <w:rFonts w:ascii="Arial" w:hAnsi="Arial" w:cs="Arial"/>
          <w:color w:val="000000"/>
          <w:szCs w:val="22"/>
          <w:u w:color="000000"/>
        </w:rPr>
        <w:t>zagospodarowania powierzchni działki budowlanej w sposób zabezpieczający sąsiednie nieruchomości oraz drogi przed spływem wód opadowych i roztopowych,</w:t>
      </w:r>
    </w:p>
    <w:p w14:paraId="595BFA9C"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b) </w:t>
      </w:r>
      <w:r w:rsidRPr="005B45DF">
        <w:rPr>
          <w:rFonts w:ascii="Arial" w:hAnsi="Arial" w:cs="Arial"/>
          <w:color w:val="000000"/>
          <w:szCs w:val="22"/>
          <w:u w:color="000000"/>
        </w:rPr>
        <w:t>zapewnienia ochrony dziko występujących roślin, zwierząt i grzybów, zgodnie z przepisami dotyczącymi ochrony przyrody,</w:t>
      </w:r>
    </w:p>
    <w:p w14:paraId="38AA2636"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c) </w:t>
      </w:r>
      <w:r w:rsidRPr="005B45DF">
        <w:rPr>
          <w:rFonts w:ascii="Arial" w:hAnsi="Arial" w:cs="Arial"/>
          <w:color w:val="000000"/>
          <w:szCs w:val="22"/>
          <w:u w:color="000000"/>
        </w:rPr>
        <w:t>zapewnienia możliwości przemieszczania się dziko występujących zwierząt podczas grodzenia obszaru, na którym zlokalizowane zostaną urządzenia fotowoltaiczne,</w:t>
      </w:r>
    </w:p>
    <w:p w14:paraId="7288C2E6"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lastRenderedPageBreak/>
        <w:t>d) </w:t>
      </w:r>
      <w:r w:rsidRPr="005B45DF">
        <w:rPr>
          <w:rFonts w:ascii="Arial" w:hAnsi="Arial" w:cs="Arial"/>
          <w:color w:val="000000"/>
          <w:szCs w:val="22"/>
          <w:u w:color="000000"/>
        </w:rPr>
        <w:t>stosowania powłok antyrefleksyjnych na urządzeniach fotowoltaicznych,</w:t>
      </w:r>
    </w:p>
    <w:p w14:paraId="03A9F73B"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e) </w:t>
      </w:r>
      <w:r w:rsidRPr="005B45DF">
        <w:rPr>
          <w:rFonts w:ascii="Arial" w:hAnsi="Arial" w:cs="Arial"/>
          <w:color w:val="000000"/>
          <w:szCs w:val="22"/>
          <w:u w:color="000000"/>
        </w:rPr>
        <w:t>ograniczenia oświetlenia obszaru, na którym zlokalizowane zostaną urządzenia fotowoltaiczne do minimum podyktowanego względami technicznymi;</w:t>
      </w:r>
    </w:p>
    <w:p w14:paraId="2A7E47B6"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zakaz:</w:t>
      </w:r>
    </w:p>
    <w:p w14:paraId="4991CA36"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a) </w:t>
      </w:r>
      <w:r w:rsidRPr="005B45DF">
        <w:rPr>
          <w:rFonts w:ascii="Arial" w:hAnsi="Arial" w:cs="Arial"/>
          <w:color w:val="000000"/>
          <w:szCs w:val="22"/>
          <w:u w:color="000000"/>
        </w:rPr>
        <w:t>lokalizacji przedsięwzięć mogących zawsze znacząco oddziaływać na środowisko, określonych w przepisach wykonawczych, wskazujących rodzaje przedsięwzięć mogących zawsze i potencjalnie znacząco oddziaływać na środowisko,</w:t>
      </w:r>
    </w:p>
    <w:p w14:paraId="79076330"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b) </w:t>
      </w:r>
      <w:r w:rsidRPr="005B45DF">
        <w:rPr>
          <w:rFonts w:ascii="Arial" w:hAnsi="Arial" w:cs="Arial"/>
          <w:color w:val="000000"/>
          <w:szCs w:val="22"/>
          <w:u w:color="000000"/>
        </w:rPr>
        <w:t>użytkowania i zagospodarowania terenu, które:</w:t>
      </w:r>
    </w:p>
    <w:p w14:paraId="2B752605" w14:textId="77777777" w:rsidR="00A77B3E" w:rsidRPr="005B45DF" w:rsidRDefault="00984BB0" w:rsidP="005B45DF">
      <w:pPr>
        <w:keepLines/>
        <w:spacing w:before="120" w:after="120" w:line="276" w:lineRule="auto"/>
        <w:ind w:left="794" w:hanging="113"/>
        <w:jc w:val="left"/>
        <w:rPr>
          <w:rFonts w:ascii="Arial" w:hAnsi="Arial" w:cs="Arial"/>
          <w:color w:val="000000"/>
          <w:szCs w:val="22"/>
          <w:u w:color="000000"/>
        </w:rPr>
      </w:pPr>
      <w:r w:rsidRPr="005B45DF">
        <w:rPr>
          <w:rFonts w:ascii="Arial" w:hAnsi="Arial" w:cs="Arial"/>
          <w:szCs w:val="22"/>
        </w:rPr>
        <w:t>- </w:t>
      </w:r>
      <w:r w:rsidRPr="005B45DF">
        <w:rPr>
          <w:rFonts w:ascii="Arial" w:hAnsi="Arial" w:cs="Arial"/>
          <w:color w:val="000000"/>
          <w:szCs w:val="22"/>
          <w:u w:color="000000"/>
        </w:rPr>
        <w:t>może stanowić źródło przekraczających normy zanieczyszczeń dla środowiska wodno-gruntowego,</w:t>
      </w:r>
    </w:p>
    <w:p w14:paraId="484051C7" w14:textId="77777777" w:rsidR="00A77B3E" w:rsidRPr="005B45DF" w:rsidRDefault="00984BB0" w:rsidP="005B45DF">
      <w:pPr>
        <w:keepLines/>
        <w:spacing w:before="120" w:after="120" w:line="276" w:lineRule="auto"/>
        <w:ind w:left="794" w:hanging="113"/>
        <w:jc w:val="left"/>
        <w:rPr>
          <w:rFonts w:ascii="Arial" w:hAnsi="Arial" w:cs="Arial"/>
          <w:color w:val="000000"/>
          <w:szCs w:val="22"/>
          <w:u w:color="000000"/>
        </w:rPr>
      </w:pPr>
      <w:r w:rsidRPr="005B45DF">
        <w:rPr>
          <w:rFonts w:ascii="Arial" w:hAnsi="Arial" w:cs="Arial"/>
          <w:szCs w:val="22"/>
        </w:rPr>
        <w:t>- </w:t>
      </w:r>
      <w:r w:rsidRPr="005B45DF">
        <w:rPr>
          <w:rFonts w:ascii="Arial" w:hAnsi="Arial" w:cs="Arial"/>
          <w:color w:val="000000"/>
          <w:szCs w:val="22"/>
          <w:u w:color="000000"/>
        </w:rPr>
        <w:t>powoduje trwałą zmianę stosunków wodnych na obszarze objętym planem i na terenach przyległych,</w:t>
      </w:r>
    </w:p>
    <w:p w14:paraId="668E0F77" w14:textId="77777777" w:rsidR="00A77B3E" w:rsidRPr="005B45DF" w:rsidRDefault="00984BB0" w:rsidP="005B45DF">
      <w:pPr>
        <w:keepLines/>
        <w:spacing w:before="120" w:after="120" w:line="276" w:lineRule="auto"/>
        <w:ind w:left="794" w:hanging="113"/>
        <w:jc w:val="left"/>
        <w:rPr>
          <w:rFonts w:ascii="Arial" w:hAnsi="Arial" w:cs="Arial"/>
          <w:color w:val="000000"/>
          <w:szCs w:val="22"/>
          <w:u w:color="000000"/>
        </w:rPr>
      </w:pPr>
      <w:r w:rsidRPr="005B45DF">
        <w:rPr>
          <w:rFonts w:ascii="Arial" w:hAnsi="Arial" w:cs="Arial"/>
          <w:szCs w:val="22"/>
        </w:rPr>
        <w:t>- </w:t>
      </w:r>
      <w:r w:rsidRPr="005B45DF">
        <w:rPr>
          <w:rFonts w:ascii="Arial" w:hAnsi="Arial" w:cs="Arial"/>
          <w:color w:val="000000"/>
          <w:szCs w:val="22"/>
          <w:u w:color="000000"/>
        </w:rPr>
        <w:t>wpływa na ponadnormatywne pogorszenie stanu czystości powietrza na obszarze objętym planem lub na terenach przyległych,</w:t>
      </w:r>
    </w:p>
    <w:p w14:paraId="72F42FB4" w14:textId="77777777" w:rsidR="00A77B3E" w:rsidRPr="005B45DF" w:rsidRDefault="00984BB0" w:rsidP="005B45DF">
      <w:pPr>
        <w:keepLines/>
        <w:spacing w:before="120" w:after="120" w:line="276" w:lineRule="auto"/>
        <w:ind w:left="794" w:hanging="113"/>
        <w:jc w:val="left"/>
        <w:rPr>
          <w:rFonts w:ascii="Arial" w:hAnsi="Arial" w:cs="Arial"/>
          <w:color w:val="000000"/>
          <w:szCs w:val="22"/>
          <w:u w:color="000000"/>
        </w:rPr>
      </w:pPr>
      <w:r w:rsidRPr="005B45DF">
        <w:rPr>
          <w:rFonts w:ascii="Arial" w:hAnsi="Arial" w:cs="Arial"/>
          <w:szCs w:val="22"/>
        </w:rPr>
        <w:t>- </w:t>
      </w:r>
      <w:r w:rsidRPr="005B45DF">
        <w:rPr>
          <w:rFonts w:ascii="Arial" w:hAnsi="Arial" w:cs="Arial"/>
          <w:color w:val="000000"/>
          <w:szCs w:val="22"/>
          <w:u w:color="000000"/>
        </w:rPr>
        <w:t>generuje uciążliwości dla środowiska, powodowane przez hałas, wibracje, zakłócenia elektroenergetyczne i promieniowanie, przekraczające standardy jakości środowiska, odpowiednie dla przeznaczenia poszczególnych terenów zlokalizowanych w granicach obszaru objętego planem lub na terenach przyległych.</w:t>
      </w:r>
    </w:p>
    <w:p w14:paraId="1CD706AD"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8. </w:t>
      </w:r>
      <w:r w:rsidRPr="005B45DF">
        <w:rPr>
          <w:rFonts w:ascii="Arial" w:hAnsi="Arial" w:cs="Arial"/>
          <w:color w:val="000000"/>
          <w:szCs w:val="22"/>
          <w:u w:color="000000"/>
        </w:rPr>
        <w:t>W zakresie granic i sposobów zagospodarowania terenów lub obiektów podlegających ochronie, na podstawie odrębnych przepisów ustala się:</w:t>
      </w:r>
    </w:p>
    <w:p w14:paraId="0027DF1D"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obszar objęty planem znajduje się w strefie ograniczonego użytkowania, wynikającej z zapisów "Porozumienia wykonawczego między Rządem Rzeczpospolitej Polskiej, a Rządem Stanów Zjednoczonych Ameryki (...) w sprawie użytkowania terenów oraz przestrzeni powietrznej wokół bazy systemu obrony przed rakietami balistycznymi", w granicach której obowiązują przepisy odrębne;</w:t>
      </w:r>
    </w:p>
    <w:p w14:paraId="14A6FADC"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 xml:space="preserve">ograniczenia w użytkowaniu nadajników elektromagnetycznych – zabrania się używania nadajników elektroenergetycznych, które generują pole elektroenergetyczne przekraczające natężenie 3V/m wartości skutecznej dla wszystkich częstotliwości od 9kHz do 300 GHz mierzonych 2 metry nad poziomem gruntu w punkcie o współrzędnych 54°28’46,354’’N oraz 17°06’38,046’’E w układzie odniesienia WGS-84 i wysokości 64m </w:t>
      </w:r>
      <w:proofErr w:type="spellStart"/>
      <w:r w:rsidRPr="005B45DF">
        <w:rPr>
          <w:rFonts w:ascii="Arial" w:hAnsi="Arial" w:cs="Arial"/>
          <w:color w:val="000000"/>
          <w:szCs w:val="22"/>
          <w:u w:color="000000"/>
        </w:rPr>
        <w:t>n.p.m</w:t>
      </w:r>
      <w:proofErr w:type="spellEnd"/>
      <w:r w:rsidRPr="005B45DF">
        <w:rPr>
          <w:rFonts w:ascii="Arial" w:hAnsi="Arial" w:cs="Arial"/>
          <w:color w:val="000000"/>
          <w:szCs w:val="22"/>
          <w:u w:color="000000"/>
        </w:rPr>
        <w:t>;</w:t>
      </w:r>
    </w:p>
    <w:p w14:paraId="64F27A8D"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ograniczenia w użytkowaniu w odległości od 1600 m do 35000 m od punktu o współrzędnych 54°28’48,158’’N oraz 17°06’04,719’’E w układzie odniesienia WGS-84 i wysokości 65m n.p.m., żadna konstrukcja nie może przekraczać wysokości określonej przez powierzchnię boczną stożka, która kieruje się ku górze pod kątem 1,5° do płaszczyzny horyzontu. Wierzchołek stożka leży na wysokości 15,24 m n.p.t. w Punkcie Odniesienia Radaru, zgodnie z art. IV ust. 3 "Porozumienia wykonawczego między Rządem Rzeczpospolitej Polskiej, a Rządem Stanów Zjednoczonych Ameryki (...) w sprawie użytkowania terenów oraz przestrzeni powietrznej wokół bazy systemu obrony przed rakietami balistycznymi", w granicach której obowiązują przepisy odrębne;</w:t>
      </w:r>
    </w:p>
    <w:p w14:paraId="45545702"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4) </w:t>
      </w:r>
      <w:r w:rsidRPr="005B45DF">
        <w:rPr>
          <w:rFonts w:ascii="Arial" w:hAnsi="Arial" w:cs="Arial"/>
          <w:color w:val="000000"/>
          <w:szCs w:val="22"/>
          <w:u w:color="000000"/>
        </w:rPr>
        <w:t>strefy kontrolowane dla istniejących w granicach planu gazociągów wysokiego ciśnienia o szerokości 6 m (po 3m na stronę) dla gazociągu DN250 i 12m (po 6m na stronę) dla gazociągu DN700, w których obowiązują zakazy i ograniczenia wynikające z przepisów odrębnych.</w:t>
      </w:r>
    </w:p>
    <w:p w14:paraId="4F9AC756"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lastRenderedPageBreak/>
        <w:t>§ 9. </w:t>
      </w:r>
      <w:r w:rsidRPr="005B45DF">
        <w:rPr>
          <w:rFonts w:ascii="Arial" w:hAnsi="Arial" w:cs="Arial"/>
          <w:szCs w:val="22"/>
        </w:rPr>
        <w:t>1. </w:t>
      </w:r>
      <w:r w:rsidRPr="005B45DF">
        <w:rPr>
          <w:rFonts w:ascii="Arial" w:hAnsi="Arial" w:cs="Arial"/>
          <w:color w:val="000000"/>
          <w:szCs w:val="22"/>
          <w:u w:color="000000"/>
        </w:rPr>
        <w:t>Nie wyznacza się obszarów wymagających przeprowadzenia scaleń i podziałów nieruchomości.</w:t>
      </w:r>
    </w:p>
    <w:p w14:paraId="7FDDFF63"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W zakresie warunków scalania i podziału działek, ustala się:</w:t>
      </w:r>
    </w:p>
    <w:p w14:paraId="029B6E4E"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minimalną powierzchnię dla nowo wydzielonych działek: 10000m</w:t>
      </w:r>
      <w:r w:rsidRPr="005B45DF">
        <w:rPr>
          <w:rFonts w:ascii="Arial" w:hAnsi="Arial" w:cs="Arial"/>
          <w:color w:val="000000"/>
          <w:szCs w:val="22"/>
          <w:u w:color="000000"/>
          <w:vertAlign w:val="superscript"/>
        </w:rPr>
        <w:t>2</w:t>
      </w:r>
      <w:r w:rsidRPr="005B45DF">
        <w:rPr>
          <w:rFonts w:ascii="Arial" w:hAnsi="Arial" w:cs="Arial"/>
          <w:color w:val="000000"/>
          <w:szCs w:val="22"/>
          <w:u w:color="000000"/>
        </w:rPr>
        <w:t>;</w:t>
      </w:r>
    </w:p>
    <w:p w14:paraId="1FE36B33"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minimalną szerokość frontu dla nowo wydzielanych działek: 50m;</w:t>
      </w:r>
    </w:p>
    <w:p w14:paraId="7294343B"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kąt położenia granic działek, w stosunku do pasa drogowego: przynajmniej jedna z bocznych granic działki musi być zlokalizowana pod kątem 90 stopni w stosunku do pasa drogowego, z dopuszczalną tolerancją do 10 stopni.</w:t>
      </w:r>
    </w:p>
    <w:p w14:paraId="3AA4AED3"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Ustalenia ust. 2 nie dotyczą działek wydzielanych dla stacji transformatorowych, przepompowni ścieków lub innych tego typu obiektów i urządzeń infrastruktury technicznej oraz dojść i dojazdów.</w:t>
      </w:r>
    </w:p>
    <w:p w14:paraId="5AD3A400"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10. </w:t>
      </w:r>
      <w:r w:rsidRPr="005B45DF">
        <w:rPr>
          <w:rFonts w:ascii="Arial" w:hAnsi="Arial" w:cs="Arial"/>
          <w:color w:val="000000"/>
          <w:szCs w:val="22"/>
          <w:u w:color="000000"/>
        </w:rPr>
        <w:t>W zakresie szczególnych warunków zagospodarowania terenów oraz ograniczeń w ich użytkowaniu, w tym zakazu zabudowy ustala się:</w:t>
      </w:r>
    </w:p>
    <w:p w14:paraId="04477B8E"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 xml:space="preserve">strefę ochronną od wolnostojących urządzeń fotowoltaicznych o mocy zainstalowanej większej niż 500 kW tożsamą z linią rozgraniczającą terenu </w:t>
      </w:r>
      <w:r w:rsidRPr="005B45DF">
        <w:rPr>
          <w:rFonts w:ascii="Arial" w:hAnsi="Arial" w:cs="Arial"/>
          <w:b/>
          <w:color w:val="000000"/>
          <w:szCs w:val="22"/>
          <w:u w:color="000000"/>
        </w:rPr>
        <w:t>PEF-RN,</w:t>
      </w:r>
      <w:r w:rsidRPr="005B45DF">
        <w:rPr>
          <w:rFonts w:ascii="Arial" w:hAnsi="Arial" w:cs="Arial"/>
          <w:color w:val="000000"/>
          <w:szCs w:val="22"/>
          <w:u w:color="000000"/>
        </w:rPr>
        <w:t xml:space="preserve"> w granicach której obowiązuje zakaz zabudowy przeznaczonej na stały pobyt ludzi;</w:t>
      </w:r>
    </w:p>
    <w:p w14:paraId="455BAB1C"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pas eksploatacyjny wzdłuż istniejącego w granicach planu gazociągu wysokiego ciśnienia DN700 o szerokości 6 m(po 3m na stronę), w którym zakazuje się:</w:t>
      </w:r>
    </w:p>
    <w:p w14:paraId="68C037AC"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a) </w:t>
      </w:r>
      <w:r w:rsidRPr="005B45DF">
        <w:rPr>
          <w:rFonts w:ascii="Arial" w:hAnsi="Arial" w:cs="Arial"/>
          <w:color w:val="000000"/>
          <w:szCs w:val="22"/>
          <w:u w:color="000000"/>
        </w:rPr>
        <w:t>urządzania dróg dojazdowych dla potrzeb budowy,</w:t>
      </w:r>
    </w:p>
    <w:p w14:paraId="3124ADE8"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b) </w:t>
      </w:r>
      <w:r w:rsidRPr="005B45DF">
        <w:rPr>
          <w:rFonts w:ascii="Arial" w:hAnsi="Arial" w:cs="Arial"/>
          <w:color w:val="000000"/>
          <w:szCs w:val="22"/>
          <w:u w:color="000000"/>
        </w:rPr>
        <w:t>postoju ciężkiego sprzętu mechanicznego,</w:t>
      </w:r>
    </w:p>
    <w:p w14:paraId="673070C0"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c) </w:t>
      </w:r>
      <w:r w:rsidRPr="005B45DF">
        <w:rPr>
          <w:rFonts w:ascii="Arial" w:hAnsi="Arial" w:cs="Arial"/>
          <w:color w:val="000000"/>
          <w:szCs w:val="22"/>
          <w:u w:color="000000"/>
        </w:rPr>
        <w:t>odkładania ziemi z wykopów,</w:t>
      </w:r>
    </w:p>
    <w:p w14:paraId="48625CED"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d) </w:t>
      </w:r>
      <w:r w:rsidRPr="005B45DF">
        <w:rPr>
          <w:rFonts w:ascii="Arial" w:hAnsi="Arial" w:cs="Arial"/>
          <w:color w:val="000000"/>
          <w:szCs w:val="22"/>
          <w:u w:color="000000"/>
        </w:rPr>
        <w:t>zmniejszania przykrycia gazociągu,</w:t>
      </w:r>
    </w:p>
    <w:p w14:paraId="0093CE83"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e) </w:t>
      </w:r>
      <w:proofErr w:type="spellStart"/>
      <w:r w:rsidRPr="005B45DF">
        <w:rPr>
          <w:rFonts w:ascii="Arial" w:hAnsi="Arial" w:cs="Arial"/>
          <w:color w:val="000000"/>
          <w:szCs w:val="22"/>
          <w:u w:color="000000"/>
        </w:rPr>
        <w:t>nasadzeń</w:t>
      </w:r>
      <w:proofErr w:type="spellEnd"/>
      <w:r w:rsidRPr="005B45DF">
        <w:rPr>
          <w:rFonts w:ascii="Arial" w:hAnsi="Arial" w:cs="Arial"/>
          <w:color w:val="000000"/>
          <w:szCs w:val="22"/>
          <w:u w:color="000000"/>
        </w:rPr>
        <w:t xml:space="preserve"> drzew i krzewów;</w:t>
      </w:r>
    </w:p>
    <w:p w14:paraId="416625F8"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dla terenu wzdłuż gazociągu wysokiego ciśnienia DN250:</w:t>
      </w:r>
    </w:p>
    <w:p w14:paraId="06CB85A6"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a) </w:t>
      </w:r>
      <w:r w:rsidRPr="005B45DF">
        <w:rPr>
          <w:rFonts w:ascii="Arial" w:hAnsi="Arial" w:cs="Arial"/>
          <w:color w:val="000000"/>
          <w:szCs w:val="22"/>
          <w:u w:color="000000"/>
        </w:rPr>
        <w:t>lokalizację skrajnych elementów urządzeń fotowoltaicznych oraz ogrodzenia terenu inwestycji poza strefą kontrolowaną,</w:t>
      </w:r>
    </w:p>
    <w:p w14:paraId="48D2D51F"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b) </w:t>
      </w:r>
      <w:r w:rsidRPr="005B45DF">
        <w:rPr>
          <w:rFonts w:ascii="Arial" w:hAnsi="Arial" w:cs="Arial"/>
          <w:color w:val="000000"/>
          <w:szCs w:val="22"/>
          <w:u w:color="000000"/>
        </w:rPr>
        <w:t>lokalizację uziomów infrastruktury technicznej w odległości nie mniejszej niż 5 m od strefy kontrolowanej.</w:t>
      </w:r>
    </w:p>
    <w:p w14:paraId="5B46D95B"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11. </w:t>
      </w:r>
      <w:r w:rsidRPr="005B45DF">
        <w:rPr>
          <w:rFonts w:ascii="Arial" w:hAnsi="Arial" w:cs="Arial"/>
          <w:color w:val="000000"/>
          <w:szCs w:val="22"/>
          <w:u w:color="000000"/>
        </w:rPr>
        <w:t>W zakresie zasad modernizacji, rozbudowy i budowy systemów komunikacji ustala się:</w:t>
      </w:r>
    </w:p>
    <w:p w14:paraId="480D62C2"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obsługę komunikacyjną w obszarze objętym planem z przyległych dróg wewnętrznych, zgodnie z rysunkiem planu;</w:t>
      </w:r>
    </w:p>
    <w:p w14:paraId="44927921"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powiązanie komunikacyjne obszaru planu z istniejącym, zewnętrznym układem komunikacyjnym poprzez drogi wewnętrzne połączone z drogami gminnymi, zlokalizowanymi w bezpośrednim sąsiedztwie planu;</w:t>
      </w:r>
    </w:p>
    <w:p w14:paraId="423DB9DC"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zapewnienie minimum 1 miejsca parkingowego dla samochodu osobowego na 2 osoby zatrudnione do obsługi urządzeń fotowoltaicznych.</w:t>
      </w:r>
    </w:p>
    <w:p w14:paraId="551002B7"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12. </w:t>
      </w:r>
      <w:r w:rsidRPr="005B45DF">
        <w:rPr>
          <w:rFonts w:ascii="Arial" w:hAnsi="Arial" w:cs="Arial"/>
          <w:szCs w:val="22"/>
        </w:rPr>
        <w:t>1. </w:t>
      </w:r>
      <w:r w:rsidRPr="005B45DF">
        <w:rPr>
          <w:rFonts w:ascii="Arial" w:hAnsi="Arial" w:cs="Arial"/>
          <w:color w:val="000000"/>
          <w:szCs w:val="22"/>
          <w:u w:color="000000"/>
        </w:rPr>
        <w:t>W zakresie zaopatrzenia w energię elektryczną ustala się nakaz:</w:t>
      </w:r>
    </w:p>
    <w:p w14:paraId="6244FF7E"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zasilania energetycznego z sieci elektroenergetycznych, przy czym dopuszcza się korzystanie z odnawialnych źródeł energii, z uwzględnieniem ustaleń planu;</w:t>
      </w:r>
    </w:p>
    <w:p w14:paraId="0C0A7CE3"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lastRenderedPageBreak/>
        <w:t>2) </w:t>
      </w:r>
      <w:r w:rsidRPr="005B45DF">
        <w:rPr>
          <w:rFonts w:ascii="Arial" w:hAnsi="Arial" w:cs="Arial"/>
          <w:color w:val="000000"/>
          <w:szCs w:val="22"/>
          <w:u w:color="000000"/>
        </w:rPr>
        <w:t>stosowania wyłącznie sieci kablowych, podziemnych przy budowie nowych oraz przebudowie i rozbudowie istniejących sieci elektroenergetycznych.</w:t>
      </w:r>
    </w:p>
    <w:p w14:paraId="0965CA77"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W zakresie zaopatrzenia w energię cieplną ustala się zasilanie w ciepło zgodnie z przepisami odrębnymi.</w:t>
      </w:r>
    </w:p>
    <w:p w14:paraId="2114DAF9"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W zakresie odprowadzenia wód opadowych i roztopowych ustala się nakaz:</w:t>
      </w:r>
    </w:p>
    <w:p w14:paraId="38214E96"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odprowadzenia wód opadowych i roztopowych, zgodnie z przepisami odrębnymi z zakresu prawa wodnego;</w:t>
      </w:r>
    </w:p>
    <w:p w14:paraId="70D098F2"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zagospodarowania wód opadowych i roztopowych z dachów obiektów budowlanych w granicach działki;</w:t>
      </w:r>
    </w:p>
    <w:p w14:paraId="0D886E8F"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stosowania rozwiązań technicznych, technologicznych i organizacyjnych gwarantujących zabezpieczenie przed zanieczyszczeniem warstwy wodonośnej;</w:t>
      </w:r>
    </w:p>
    <w:p w14:paraId="46061421"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4) </w:t>
      </w:r>
      <w:r w:rsidRPr="005B45DF">
        <w:rPr>
          <w:rFonts w:ascii="Arial" w:hAnsi="Arial" w:cs="Arial"/>
          <w:color w:val="000000"/>
          <w:szCs w:val="22"/>
          <w:u w:color="000000"/>
        </w:rPr>
        <w:t>zabezpieczenia odpływu wód opadowych w sposób chroniący teren przed erozją wodną oraz zaleganiem wód opadowych.</w:t>
      </w:r>
    </w:p>
    <w:p w14:paraId="723F07F5"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4. </w:t>
      </w:r>
      <w:r w:rsidRPr="005B45DF">
        <w:rPr>
          <w:rFonts w:ascii="Arial" w:hAnsi="Arial" w:cs="Arial"/>
          <w:color w:val="000000"/>
          <w:szCs w:val="22"/>
          <w:u w:color="000000"/>
        </w:rPr>
        <w:t>W zakresie infrastruktury telekomunikacyjnej ustala się nakaz uzbrojenia obszaru w zakresie usług telekomunikacyjnych w oparciu o sieć telekomunikacyjną.</w:t>
      </w:r>
    </w:p>
    <w:p w14:paraId="77213743"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5. </w:t>
      </w:r>
      <w:r w:rsidRPr="005B45DF">
        <w:rPr>
          <w:rFonts w:ascii="Arial" w:hAnsi="Arial" w:cs="Arial"/>
          <w:color w:val="000000"/>
          <w:szCs w:val="22"/>
          <w:u w:color="000000"/>
        </w:rPr>
        <w:t>W zakresie gospodarowania odpadami stałymi obowiązują przepisy odrębne z zakresu prawa o odpadach.</w:t>
      </w:r>
    </w:p>
    <w:p w14:paraId="50520FE2"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szCs w:val="22"/>
        </w:rPr>
        <w:t>6. </w:t>
      </w:r>
      <w:r w:rsidRPr="005B45DF">
        <w:rPr>
          <w:rFonts w:ascii="Arial" w:hAnsi="Arial" w:cs="Arial"/>
          <w:color w:val="000000"/>
          <w:szCs w:val="22"/>
          <w:u w:color="000000"/>
        </w:rPr>
        <w:t>Ze względu na specyfikę inwestycji lokalizowanej w granicach obszaru planu, nie ustala się warunków dotyczących zaopatrzenia w wodę i gaz, a także warunków odprowadzenia ścieków.</w:t>
      </w:r>
    </w:p>
    <w:p w14:paraId="77382565"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13. </w:t>
      </w:r>
      <w:r w:rsidRPr="005B45DF">
        <w:rPr>
          <w:rFonts w:ascii="Arial" w:hAnsi="Arial" w:cs="Arial"/>
          <w:color w:val="000000"/>
          <w:szCs w:val="22"/>
          <w:u w:color="000000"/>
        </w:rPr>
        <w:t>W granicach obszaru planu dopuszcza się budowę, przebudowę, rozbudowę i modernizację sieci i urządzeń infrastruktury technicznej zgodnie z przepisami odrębnymi i wiedzą techniczną.</w:t>
      </w:r>
    </w:p>
    <w:p w14:paraId="3FFF7ACB" w14:textId="77777777" w:rsidR="00A77B3E" w:rsidRPr="005B45DF" w:rsidRDefault="00984BB0" w:rsidP="005B45DF">
      <w:pPr>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14. </w:t>
      </w:r>
      <w:r w:rsidRPr="005B45DF">
        <w:rPr>
          <w:rFonts w:ascii="Arial" w:hAnsi="Arial" w:cs="Arial"/>
          <w:color w:val="000000"/>
          <w:szCs w:val="22"/>
          <w:u w:color="000000"/>
        </w:rPr>
        <w:t xml:space="preserve">Dla terenu </w:t>
      </w:r>
      <w:r w:rsidRPr="005B45DF">
        <w:rPr>
          <w:rFonts w:ascii="Arial" w:hAnsi="Arial" w:cs="Arial"/>
          <w:b/>
          <w:color w:val="000000"/>
          <w:szCs w:val="22"/>
          <w:u w:color="000000"/>
        </w:rPr>
        <w:t>PEF-RN</w:t>
      </w:r>
      <w:r w:rsidRPr="005B45DF">
        <w:rPr>
          <w:rFonts w:ascii="Arial" w:hAnsi="Arial" w:cs="Arial"/>
          <w:color w:val="000000"/>
          <w:szCs w:val="22"/>
          <w:u w:color="000000"/>
        </w:rPr>
        <w:t xml:space="preserve"> (o powierzchni ok. 55,19 ha), oznaczonego na rysunku planu, obowiązują następujące ustalenia:</w:t>
      </w:r>
    </w:p>
    <w:p w14:paraId="47169530"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1) </w:t>
      </w:r>
      <w:r w:rsidRPr="005B45DF">
        <w:rPr>
          <w:rFonts w:ascii="Arial" w:hAnsi="Arial" w:cs="Arial"/>
          <w:color w:val="000000"/>
          <w:szCs w:val="22"/>
          <w:u w:color="000000"/>
        </w:rPr>
        <w:t>Przeznaczenie terenu: teren elektrowni słonecznej lub rolnictwa z zakazem zabudowy. W liniach rozgraniczających terenu dopuszcza się:</w:t>
      </w:r>
    </w:p>
    <w:p w14:paraId="48662B4D"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a) </w:t>
      </w:r>
      <w:r w:rsidRPr="005B45DF">
        <w:rPr>
          <w:rFonts w:ascii="Arial" w:hAnsi="Arial" w:cs="Arial"/>
          <w:color w:val="000000"/>
          <w:szCs w:val="22"/>
          <w:u w:color="000000"/>
        </w:rPr>
        <w:t>lokalizację wolnostojących urządzeń fotowoltaicznych o mocy zainstalowanej elektrycznej większej niż 500 kW;</w:t>
      </w:r>
    </w:p>
    <w:p w14:paraId="12981326"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b) </w:t>
      </w:r>
      <w:r w:rsidRPr="005B45DF">
        <w:rPr>
          <w:rFonts w:ascii="Arial" w:hAnsi="Arial" w:cs="Arial"/>
          <w:color w:val="000000"/>
          <w:szCs w:val="22"/>
          <w:u w:color="000000"/>
        </w:rPr>
        <w:t>realizację zaplecza technicznego oraz sieci i obiektów infrastruktury technicznej, w tym stacji GPZ WN/SN/</w:t>
      </w:r>
      <w:proofErr w:type="spellStart"/>
      <w:r w:rsidRPr="005B45DF">
        <w:rPr>
          <w:rFonts w:ascii="Arial" w:hAnsi="Arial" w:cs="Arial"/>
          <w:color w:val="000000"/>
          <w:szCs w:val="22"/>
          <w:u w:color="000000"/>
        </w:rPr>
        <w:t>nn</w:t>
      </w:r>
      <w:proofErr w:type="spellEnd"/>
      <w:r w:rsidRPr="005B45DF">
        <w:rPr>
          <w:rFonts w:ascii="Arial" w:hAnsi="Arial" w:cs="Arial"/>
          <w:color w:val="000000"/>
          <w:szCs w:val="22"/>
          <w:u w:color="000000"/>
        </w:rPr>
        <w:t>, magazynów mocy, pomieszczeń socjalnych i magazynowych dla doraźnej obsługi terenu, a także dojazdów przeznaczonych do obsługi inwestycji, parkingów i placów.</w:t>
      </w:r>
    </w:p>
    <w:p w14:paraId="6F235B0A"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2) </w:t>
      </w:r>
      <w:r w:rsidRPr="005B45DF">
        <w:rPr>
          <w:rFonts w:ascii="Arial" w:hAnsi="Arial" w:cs="Arial"/>
          <w:color w:val="000000"/>
          <w:szCs w:val="22"/>
          <w:u w:color="000000"/>
        </w:rPr>
        <w:t>Zasady kształtowania nowej zabudowy oraz wskaźniki zagospodarowania terenu obowiązujące dla nieruchomości przeznaczonych pod lokalizację urządzeń fotowoltaicznych:</w:t>
      </w:r>
    </w:p>
    <w:p w14:paraId="3A687E5A"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a) </w:t>
      </w:r>
      <w:r w:rsidRPr="005B45DF">
        <w:rPr>
          <w:rFonts w:ascii="Arial" w:hAnsi="Arial" w:cs="Arial"/>
          <w:color w:val="000000"/>
          <w:szCs w:val="22"/>
          <w:u w:color="000000"/>
        </w:rPr>
        <w:t>linie zabudowy: nieprzekraczalne linie zabudowy, zgodnie z rysunkiem planu;</w:t>
      </w:r>
    </w:p>
    <w:p w14:paraId="55C415F1"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b) </w:t>
      </w:r>
      <w:r w:rsidRPr="005B45DF">
        <w:rPr>
          <w:rFonts w:ascii="Arial" w:hAnsi="Arial" w:cs="Arial"/>
          <w:color w:val="000000"/>
          <w:szCs w:val="22"/>
          <w:u w:color="000000"/>
        </w:rPr>
        <w:t>maksymalna powierzchnia zabudowy (dla działki budowlanej):</w:t>
      </w:r>
    </w:p>
    <w:p w14:paraId="5E8A90D2" w14:textId="77777777" w:rsidR="00A77B3E" w:rsidRPr="005B45DF" w:rsidRDefault="00984BB0" w:rsidP="005B45DF">
      <w:pPr>
        <w:keepLines/>
        <w:spacing w:before="120" w:after="120" w:line="276" w:lineRule="auto"/>
        <w:ind w:left="794" w:hanging="113"/>
        <w:jc w:val="left"/>
        <w:rPr>
          <w:rFonts w:ascii="Arial" w:hAnsi="Arial" w:cs="Arial"/>
          <w:color w:val="000000"/>
          <w:szCs w:val="22"/>
          <w:u w:color="000000"/>
        </w:rPr>
      </w:pPr>
      <w:r w:rsidRPr="005B45DF">
        <w:rPr>
          <w:rFonts w:ascii="Arial" w:hAnsi="Arial" w:cs="Arial"/>
          <w:szCs w:val="22"/>
        </w:rPr>
        <w:t>- </w:t>
      </w:r>
      <w:r w:rsidRPr="005B45DF">
        <w:rPr>
          <w:rFonts w:ascii="Arial" w:hAnsi="Arial" w:cs="Arial"/>
          <w:color w:val="000000"/>
          <w:szCs w:val="22"/>
          <w:u w:color="000000"/>
        </w:rPr>
        <w:t>systemami fotowoltaicznymi: 85%,</w:t>
      </w:r>
    </w:p>
    <w:p w14:paraId="04E2B311" w14:textId="77777777" w:rsidR="00A77B3E" w:rsidRPr="005B45DF" w:rsidRDefault="00984BB0" w:rsidP="005B45DF">
      <w:pPr>
        <w:keepLines/>
        <w:spacing w:before="120" w:after="120" w:line="276" w:lineRule="auto"/>
        <w:ind w:left="794" w:hanging="113"/>
        <w:jc w:val="left"/>
        <w:rPr>
          <w:rFonts w:ascii="Arial" w:hAnsi="Arial" w:cs="Arial"/>
          <w:color w:val="000000"/>
          <w:szCs w:val="22"/>
          <w:u w:color="000000"/>
        </w:rPr>
      </w:pPr>
      <w:r w:rsidRPr="005B45DF">
        <w:rPr>
          <w:rFonts w:ascii="Arial" w:hAnsi="Arial" w:cs="Arial"/>
          <w:szCs w:val="22"/>
        </w:rPr>
        <w:t>- </w:t>
      </w:r>
      <w:r w:rsidRPr="005B45DF">
        <w:rPr>
          <w:rFonts w:ascii="Arial" w:hAnsi="Arial" w:cs="Arial"/>
          <w:color w:val="000000"/>
          <w:szCs w:val="22"/>
          <w:u w:color="000000"/>
        </w:rPr>
        <w:t>zabudową kubaturową do obsługi farmy fotowoltaicznej: 2%, lecz nie więcej niż 200m</w:t>
      </w:r>
      <w:r w:rsidRPr="005B45DF">
        <w:rPr>
          <w:rFonts w:ascii="Arial" w:hAnsi="Arial" w:cs="Arial"/>
          <w:color w:val="000000"/>
          <w:szCs w:val="22"/>
          <w:u w:color="000000"/>
          <w:vertAlign w:val="superscript"/>
        </w:rPr>
        <w:t>2</w:t>
      </w:r>
      <w:r w:rsidRPr="005B45DF">
        <w:rPr>
          <w:rFonts w:ascii="Arial" w:hAnsi="Arial" w:cs="Arial"/>
          <w:color w:val="000000"/>
          <w:szCs w:val="22"/>
          <w:u w:color="000000"/>
        </w:rPr>
        <w:t>;</w:t>
      </w:r>
    </w:p>
    <w:p w14:paraId="07FC4070"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c) </w:t>
      </w:r>
      <w:r w:rsidRPr="005B45DF">
        <w:rPr>
          <w:rFonts w:ascii="Arial" w:hAnsi="Arial" w:cs="Arial"/>
          <w:color w:val="000000"/>
          <w:szCs w:val="22"/>
          <w:u w:color="000000"/>
        </w:rPr>
        <w:t>maksymalny wskaźnik intensywności zabudowy (dla zabudowy kubaturowej): 0,02;</w:t>
      </w:r>
    </w:p>
    <w:p w14:paraId="7340B112"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d) </w:t>
      </w:r>
      <w:r w:rsidRPr="005B45DF">
        <w:rPr>
          <w:rFonts w:ascii="Arial" w:hAnsi="Arial" w:cs="Arial"/>
          <w:color w:val="000000"/>
          <w:szCs w:val="22"/>
          <w:u w:color="000000"/>
        </w:rPr>
        <w:t>minimalny wskaźnik intensywności zabudowy: 0;</w:t>
      </w:r>
    </w:p>
    <w:p w14:paraId="13D5FC13"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e) </w:t>
      </w:r>
      <w:r w:rsidRPr="005B45DF">
        <w:rPr>
          <w:rFonts w:ascii="Arial" w:hAnsi="Arial" w:cs="Arial"/>
          <w:color w:val="000000"/>
          <w:szCs w:val="22"/>
          <w:u w:color="000000"/>
        </w:rPr>
        <w:t>minimalna powierzchnia nowo wydzielonej działki budowlanej: 10000m</w:t>
      </w:r>
      <w:r w:rsidRPr="005B45DF">
        <w:rPr>
          <w:rFonts w:ascii="Arial" w:hAnsi="Arial" w:cs="Arial"/>
          <w:color w:val="000000"/>
          <w:szCs w:val="22"/>
          <w:u w:color="000000"/>
          <w:vertAlign w:val="superscript"/>
        </w:rPr>
        <w:t>2</w:t>
      </w:r>
      <w:r w:rsidRPr="005B45DF">
        <w:rPr>
          <w:rFonts w:ascii="Arial" w:hAnsi="Arial" w:cs="Arial"/>
          <w:color w:val="000000"/>
          <w:szCs w:val="22"/>
          <w:u w:color="000000"/>
        </w:rPr>
        <w:t xml:space="preserve">; </w:t>
      </w:r>
    </w:p>
    <w:p w14:paraId="1334142F"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lastRenderedPageBreak/>
        <w:t>f) </w:t>
      </w:r>
      <w:r w:rsidRPr="005B45DF">
        <w:rPr>
          <w:rFonts w:ascii="Arial" w:hAnsi="Arial" w:cs="Arial"/>
          <w:color w:val="000000"/>
          <w:szCs w:val="22"/>
          <w:u w:color="000000"/>
        </w:rPr>
        <w:t>minimalny udział procentowy powierzchni biologicznie czynnej, w tym powierzchni pod urządzeniami fotowoltaicznymi (dla działki budowlanej): 60%;</w:t>
      </w:r>
    </w:p>
    <w:p w14:paraId="4FF71A27"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g) </w:t>
      </w:r>
      <w:r w:rsidRPr="005B45DF">
        <w:rPr>
          <w:rFonts w:ascii="Arial" w:hAnsi="Arial" w:cs="Arial"/>
          <w:color w:val="000000"/>
          <w:szCs w:val="22"/>
          <w:u w:color="000000"/>
        </w:rPr>
        <w:t>maksymalna liczba kondygnacji nadziemnych: 1;</w:t>
      </w:r>
    </w:p>
    <w:p w14:paraId="55B32428"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h) </w:t>
      </w:r>
      <w:r w:rsidRPr="005B45DF">
        <w:rPr>
          <w:rFonts w:ascii="Arial" w:hAnsi="Arial" w:cs="Arial"/>
          <w:color w:val="000000"/>
          <w:szCs w:val="22"/>
          <w:u w:color="000000"/>
        </w:rPr>
        <w:t>dopuszcza się 1 kondygnację podziemną;</w:t>
      </w:r>
    </w:p>
    <w:p w14:paraId="547EF224"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i) </w:t>
      </w:r>
      <w:r w:rsidRPr="005B45DF">
        <w:rPr>
          <w:rFonts w:ascii="Arial" w:hAnsi="Arial" w:cs="Arial"/>
          <w:color w:val="000000"/>
          <w:szCs w:val="22"/>
          <w:u w:color="000000"/>
        </w:rPr>
        <w:t>maksymalna wysokość zabudowy: do 7m;</w:t>
      </w:r>
    </w:p>
    <w:p w14:paraId="251C203A" w14:textId="77777777" w:rsidR="00A77B3E" w:rsidRPr="005B45DF" w:rsidRDefault="00984BB0" w:rsidP="005B45DF">
      <w:pPr>
        <w:keepLines/>
        <w:spacing w:before="120" w:after="120" w:line="276" w:lineRule="auto"/>
        <w:ind w:left="567" w:hanging="227"/>
        <w:jc w:val="left"/>
        <w:rPr>
          <w:rFonts w:ascii="Arial" w:hAnsi="Arial" w:cs="Arial"/>
          <w:color w:val="000000"/>
          <w:szCs w:val="22"/>
          <w:u w:color="000000"/>
        </w:rPr>
      </w:pPr>
      <w:r w:rsidRPr="005B45DF">
        <w:rPr>
          <w:rFonts w:ascii="Arial" w:hAnsi="Arial" w:cs="Arial"/>
          <w:szCs w:val="22"/>
        </w:rPr>
        <w:t>j) </w:t>
      </w:r>
      <w:r w:rsidRPr="005B45DF">
        <w:rPr>
          <w:rFonts w:ascii="Arial" w:hAnsi="Arial" w:cs="Arial"/>
          <w:color w:val="000000"/>
          <w:szCs w:val="22"/>
          <w:u w:color="000000"/>
        </w:rPr>
        <w:t>geometria głównych połaci dachu: dach płaski.</w:t>
      </w:r>
    </w:p>
    <w:p w14:paraId="430D200B"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3) </w:t>
      </w:r>
      <w:r w:rsidRPr="005B45DF">
        <w:rPr>
          <w:rFonts w:ascii="Arial" w:hAnsi="Arial" w:cs="Arial"/>
          <w:color w:val="000000"/>
          <w:szCs w:val="22"/>
          <w:u w:color="000000"/>
        </w:rPr>
        <w:t>Zasady budowy systemów komunikacji oraz minimalna liczba miejsc postojowych: zgodnie z § 11.</w:t>
      </w:r>
    </w:p>
    <w:p w14:paraId="69933111"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4) </w:t>
      </w:r>
      <w:r w:rsidRPr="005B45DF">
        <w:rPr>
          <w:rFonts w:ascii="Arial" w:hAnsi="Arial" w:cs="Arial"/>
          <w:color w:val="000000"/>
          <w:szCs w:val="22"/>
          <w:u w:color="000000"/>
        </w:rPr>
        <w:t>Zasady modernizacji, rozbudowy i budowy systemów infrastruktury technicznej: zgodnie z § 12 i § 13.</w:t>
      </w:r>
    </w:p>
    <w:p w14:paraId="4ECE48AB" w14:textId="77777777" w:rsidR="00A77B3E" w:rsidRPr="005B45DF" w:rsidRDefault="00984BB0" w:rsidP="005B45DF">
      <w:pPr>
        <w:spacing w:before="120" w:after="120" w:line="276" w:lineRule="auto"/>
        <w:ind w:left="340" w:hanging="227"/>
        <w:jc w:val="left"/>
        <w:rPr>
          <w:rFonts w:ascii="Arial" w:hAnsi="Arial" w:cs="Arial"/>
          <w:color w:val="000000"/>
          <w:szCs w:val="22"/>
          <w:u w:color="000000"/>
        </w:rPr>
      </w:pPr>
      <w:r w:rsidRPr="005B45DF">
        <w:rPr>
          <w:rFonts w:ascii="Arial" w:hAnsi="Arial" w:cs="Arial"/>
          <w:szCs w:val="22"/>
        </w:rPr>
        <w:t>5) </w:t>
      </w:r>
      <w:r w:rsidRPr="005B45DF">
        <w:rPr>
          <w:rFonts w:ascii="Arial" w:hAnsi="Arial" w:cs="Arial"/>
          <w:color w:val="000000"/>
          <w:szCs w:val="22"/>
          <w:u w:color="000000"/>
        </w:rPr>
        <w:t>Ustala się stawkę procentową, na podstawie której ustala się opłatę, o której mowa w art. 36 ust. 4 ustawy, w wysokości 30%.</w:t>
      </w:r>
    </w:p>
    <w:p w14:paraId="6D81E546" w14:textId="29B25650" w:rsidR="00A77B3E" w:rsidRPr="005B45DF" w:rsidRDefault="00984BB0" w:rsidP="005B45DF">
      <w:pPr>
        <w:keepNext/>
        <w:keepLines/>
        <w:spacing w:before="120" w:after="120" w:line="276" w:lineRule="auto"/>
        <w:ind w:firstLine="340"/>
        <w:jc w:val="left"/>
        <w:rPr>
          <w:rFonts w:ascii="Arial" w:hAnsi="Arial" w:cs="Arial"/>
          <w:color w:val="000000"/>
          <w:szCs w:val="22"/>
          <w:u w:color="000000"/>
        </w:rPr>
      </w:pPr>
      <w:r w:rsidRPr="005B45DF">
        <w:rPr>
          <w:rFonts w:ascii="Arial" w:hAnsi="Arial" w:cs="Arial"/>
          <w:b/>
          <w:szCs w:val="22"/>
        </w:rPr>
        <w:t>§ 15. </w:t>
      </w:r>
      <w:r w:rsidRPr="005B45DF">
        <w:rPr>
          <w:rFonts w:ascii="Arial" w:hAnsi="Arial" w:cs="Arial"/>
          <w:color w:val="000000"/>
          <w:szCs w:val="22"/>
          <w:u w:color="000000"/>
        </w:rPr>
        <w:t>Wykonanie uchwały powierza się Wójtowi Gminy Kobylnica. Niniejsza uchwała wchodzi w życie po upływie 14 dni od dnia ogłoszenia jej w Dzienniku Urzędowym Województwa Pomorskiego.</w:t>
      </w:r>
    </w:p>
    <w:tbl>
      <w:tblPr>
        <w:tblW w:w="5000" w:type="pct"/>
        <w:tblCellMar>
          <w:left w:w="0" w:type="dxa"/>
          <w:right w:w="0" w:type="dxa"/>
        </w:tblCellMar>
        <w:tblLook w:val="04A0" w:firstRow="1" w:lastRow="0" w:firstColumn="1" w:lastColumn="0" w:noHBand="0" w:noVBand="1"/>
      </w:tblPr>
      <w:tblGrid>
        <w:gridCol w:w="4933"/>
        <w:gridCol w:w="4933"/>
      </w:tblGrid>
      <w:tr w:rsidR="002D3D3F" w:rsidRPr="005B45DF" w14:paraId="0AEA3047" w14:textId="77777777">
        <w:tc>
          <w:tcPr>
            <w:tcW w:w="2500" w:type="pct"/>
            <w:tcMar>
              <w:top w:w="0" w:type="dxa"/>
              <w:left w:w="0" w:type="dxa"/>
              <w:bottom w:w="0" w:type="dxa"/>
              <w:right w:w="0" w:type="dxa"/>
            </w:tcMar>
            <w:hideMark/>
          </w:tcPr>
          <w:p w14:paraId="2B45B29B" w14:textId="77777777" w:rsidR="002D3D3F" w:rsidRPr="005B45DF" w:rsidRDefault="002D3D3F" w:rsidP="005B45DF">
            <w:pPr>
              <w:keepNext/>
              <w:keepLines/>
              <w:spacing w:line="276" w:lineRule="auto"/>
              <w:jc w:val="left"/>
              <w:rPr>
                <w:rFonts w:ascii="Arial" w:hAnsi="Arial" w:cs="Arial"/>
                <w:color w:val="000000"/>
                <w:szCs w:val="22"/>
              </w:rPr>
            </w:pPr>
          </w:p>
        </w:tc>
        <w:tc>
          <w:tcPr>
            <w:tcW w:w="2500" w:type="pct"/>
            <w:tcMar>
              <w:top w:w="0" w:type="dxa"/>
              <w:left w:w="0" w:type="dxa"/>
              <w:bottom w:w="0" w:type="dxa"/>
              <w:right w:w="0" w:type="dxa"/>
            </w:tcMar>
            <w:hideMark/>
          </w:tcPr>
          <w:p w14:paraId="2BE1A7AC" w14:textId="653A9127" w:rsidR="002D3D3F" w:rsidRPr="005B45DF" w:rsidRDefault="00984BB0" w:rsidP="005B45DF">
            <w:pPr>
              <w:keepNext/>
              <w:keepLines/>
              <w:spacing w:before="560" w:after="560" w:line="276" w:lineRule="auto"/>
              <w:ind w:left="1134" w:right="1134"/>
              <w:jc w:val="left"/>
              <w:rPr>
                <w:rFonts w:ascii="Arial" w:hAnsi="Arial" w:cs="Arial"/>
                <w:color w:val="000000"/>
                <w:szCs w:val="22"/>
              </w:rPr>
            </w:pPr>
            <w:r w:rsidRPr="005B45DF">
              <w:rPr>
                <w:rFonts w:ascii="Arial" w:hAnsi="Arial" w:cs="Arial"/>
                <w:color w:val="000000"/>
                <w:szCs w:val="22"/>
              </w:rPr>
              <w:t>Przewodniczący Rady Gminy</w:t>
            </w:r>
            <w:r w:rsidRPr="005B45DF">
              <w:rPr>
                <w:rFonts w:ascii="Arial" w:hAnsi="Arial" w:cs="Arial"/>
                <w:color w:val="000000"/>
                <w:szCs w:val="22"/>
              </w:rPr>
              <w:br/>
            </w:r>
            <w:r w:rsidRPr="005B45DF">
              <w:rPr>
                <w:rFonts w:ascii="Arial" w:hAnsi="Arial" w:cs="Arial"/>
                <w:color w:val="000000"/>
                <w:szCs w:val="22"/>
              </w:rPr>
              <w:br/>
            </w:r>
            <w:r w:rsidRPr="005B45DF">
              <w:rPr>
                <w:rFonts w:ascii="Arial" w:hAnsi="Arial" w:cs="Arial"/>
                <w:b/>
                <w:szCs w:val="22"/>
              </w:rPr>
              <w:t>Leon </w:t>
            </w:r>
            <w:proofErr w:type="spellStart"/>
            <w:r w:rsidRPr="005B45DF">
              <w:rPr>
                <w:rFonts w:ascii="Arial" w:hAnsi="Arial" w:cs="Arial"/>
                <w:b/>
                <w:szCs w:val="22"/>
              </w:rPr>
              <w:t>Kiziukiewicz</w:t>
            </w:r>
            <w:proofErr w:type="spellEnd"/>
          </w:p>
        </w:tc>
      </w:tr>
    </w:tbl>
    <w:p w14:paraId="2CC4E68A" w14:textId="560C29E5" w:rsidR="00984BB0" w:rsidRPr="005B45DF" w:rsidRDefault="00984BB0" w:rsidP="005B45DF">
      <w:pPr>
        <w:keepNext/>
        <w:spacing w:before="280" w:after="280" w:line="276" w:lineRule="auto"/>
        <w:ind w:left="4535"/>
        <w:jc w:val="left"/>
        <w:rPr>
          <w:rFonts w:ascii="Arial" w:hAnsi="Arial" w:cs="Arial"/>
          <w:color w:val="000000"/>
          <w:szCs w:val="22"/>
          <w:u w:color="000000"/>
        </w:rPr>
      </w:pPr>
    </w:p>
    <w:sectPr w:rsidR="00984BB0" w:rsidRPr="005B45DF">
      <w:footerReference w:type="default" r:id="rId6"/>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CCED" w14:textId="77777777" w:rsidR="00786242" w:rsidRDefault="00786242">
      <w:r>
        <w:separator/>
      </w:r>
    </w:p>
  </w:endnote>
  <w:endnote w:type="continuationSeparator" w:id="0">
    <w:p w14:paraId="2D7A9778" w14:textId="77777777" w:rsidR="00786242" w:rsidRDefault="0078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D3D3F" w14:paraId="367EF66C" w14:textId="77777777">
      <w:tc>
        <w:tcPr>
          <w:tcW w:w="6577" w:type="dxa"/>
          <w:tcBorders>
            <w:top w:val="single" w:sz="4" w:space="0" w:color="auto"/>
            <w:left w:val="nil"/>
            <w:bottom w:val="nil"/>
            <w:right w:val="nil"/>
          </w:tcBorders>
          <w:tcMar>
            <w:top w:w="100" w:type="dxa"/>
            <w:left w:w="0" w:type="dxa"/>
            <w:bottom w:w="0" w:type="dxa"/>
            <w:right w:w="0" w:type="dxa"/>
          </w:tcMar>
          <w:hideMark/>
        </w:tcPr>
        <w:p w14:paraId="0B3C3FCC" w14:textId="77777777" w:rsidR="002D3D3F" w:rsidRDefault="00984BB0">
          <w:pPr>
            <w:jc w:val="left"/>
            <w:rPr>
              <w:sz w:val="18"/>
            </w:rPr>
          </w:pPr>
          <w:r>
            <w:rPr>
              <w:sz w:val="18"/>
            </w:rPr>
            <w:t>Id: 0F1827FE-1F8F-4D63-AEE7-8DDC8E1A2E7A. 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216839D2" w14:textId="622F52DC" w:rsidR="002D3D3F" w:rsidRDefault="00984BB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FC04B80" w14:textId="77777777" w:rsidR="002D3D3F" w:rsidRDefault="002D3D3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ED8A" w14:textId="77777777" w:rsidR="00786242" w:rsidRDefault="00786242">
      <w:r>
        <w:separator/>
      </w:r>
    </w:p>
  </w:footnote>
  <w:footnote w:type="continuationSeparator" w:id="0">
    <w:p w14:paraId="1AC67F49" w14:textId="77777777" w:rsidR="00786242" w:rsidRDefault="00786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68E5"/>
    <w:rsid w:val="002D3D3F"/>
    <w:rsid w:val="005B45DF"/>
    <w:rsid w:val="006F7334"/>
    <w:rsid w:val="00786242"/>
    <w:rsid w:val="00984BB0"/>
    <w:rsid w:val="00A77B3E"/>
    <w:rsid w:val="00C1082E"/>
    <w:rsid w:val="00CA2A55"/>
    <w:rsid w:val="00D81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26B"/>
  <w15:docId w15:val="{9CA20628-D6BF-4665-A4FE-FAB2557B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1868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Nagwek1Znak">
    <w:name w:val="Nagłówek 1 Znak"/>
    <w:basedOn w:val="Domylnaczcionkaakapitu"/>
    <w:link w:val="Nagwek1"/>
    <w:rsid w:val="001868E5"/>
    <w:rPr>
      <w:rFonts w:asciiTheme="majorHAnsi" w:eastAsiaTheme="majorEastAsia" w:hAnsiTheme="majorHAnsi" w:cstheme="majorBidi"/>
      <w:color w:val="365F91" w:themeColor="accent1" w:themeShade="BF"/>
      <w:sz w:val="32"/>
      <w:szCs w:val="32"/>
    </w:rPr>
  </w:style>
  <w:style w:type="paragraph" w:styleId="Tytu">
    <w:name w:val="Title"/>
    <w:basedOn w:val="Normalny"/>
    <w:next w:val="Normalny"/>
    <w:link w:val="TytuZnak"/>
    <w:qFormat/>
    <w:rsid w:val="001868E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868E5"/>
    <w:rPr>
      <w:rFonts w:asciiTheme="majorHAnsi" w:eastAsiaTheme="majorEastAsia" w:hAnsiTheme="majorHAnsi" w:cstheme="majorBidi"/>
      <w:spacing w:val="-10"/>
      <w:kern w:val="28"/>
      <w:sz w:val="56"/>
      <w:szCs w:val="56"/>
    </w:rPr>
  </w:style>
  <w:style w:type="paragraph" w:styleId="Nagwek">
    <w:name w:val="header"/>
    <w:basedOn w:val="Normalny"/>
    <w:link w:val="NagwekZnak"/>
    <w:unhideWhenUsed/>
    <w:rsid w:val="001868E5"/>
    <w:pPr>
      <w:tabs>
        <w:tab w:val="center" w:pos="4536"/>
        <w:tab w:val="right" w:pos="9072"/>
      </w:tabs>
    </w:pPr>
  </w:style>
  <w:style w:type="character" w:customStyle="1" w:styleId="NagwekZnak">
    <w:name w:val="Nagłówek Znak"/>
    <w:basedOn w:val="Domylnaczcionkaakapitu"/>
    <w:link w:val="Nagwek"/>
    <w:rsid w:val="001868E5"/>
    <w:rPr>
      <w:sz w:val="22"/>
      <w:szCs w:val="24"/>
    </w:rPr>
  </w:style>
  <w:style w:type="paragraph" w:styleId="Stopka">
    <w:name w:val="footer"/>
    <w:basedOn w:val="Normalny"/>
    <w:link w:val="StopkaZnak"/>
    <w:unhideWhenUsed/>
    <w:rsid w:val="001868E5"/>
    <w:pPr>
      <w:tabs>
        <w:tab w:val="center" w:pos="4536"/>
        <w:tab w:val="right" w:pos="9072"/>
      </w:tabs>
    </w:pPr>
  </w:style>
  <w:style w:type="character" w:customStyle="1" w:styleId="StopkaZnak">
    <w:name w:val="Stopka Znak"/>
    <w:basedOn w:val="Domylnaczcionkaakapitu"/>
    <w:link w:val="Stopka"/>
    <w:rsid w:val="001868E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2163</Words>
  <Characters>12979</Characters>
  <Application>Microsoft Office Word</Application>
  <DocSecurity>0</DocSecurity>
  <Lines>108</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LIV/495/2022 z dnia 22 września 2022 r.</vt:lpstr>
      <vt:lpstr/>
    </vt:vector>
  </TitlesOfParts>
  <Company>Rada Gminy Kobylnica</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LIV/495/2022 z dnia 22 września 2022 r.</dc:title>
  <dc:subject>w sprawie uchwalenia miejscowego planu zagospodarowania przestrzennego
dla części działek nr 893/1, 893/2 oraz 893/3, położonych w^obrębie Kobylnica, gmina Kobylnica</dc:subject>
  <dc:creator>i.mieczkowska</dc:creator>
  <cp:lastModifiedBy>Radosław Sawicki</cp:lastModifiedBy>
  <cp:revision>5</cp:revision>
  <dcterms:created xsi:type="dcterms:W3CDTF">2022-09-29T09:02:00Z</dcterms:created>
  <dcterms:modified xsi:type="dcterms:W3CDTF">2022-09-30T09:51:00Z</dcterms:modified>
  <cp:category>Akt prawny</cp:category>
</cp:coreProperties>
</file>