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3255" w14:textId="77777777" w:rsidR="006A5209" w:rsidRPr="0030636C" w:rsidRDefault="006A5209" w:rsidP="00182F43">
      <w:pPr>
        <w:pStyle w:val="Nagwek1"/>
        <w:spacing w:before="0" w:after="120"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begin"/>
      </w:r>
      <w:r w:rsidR="0000000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separate"/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end"/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Załącznik Nr 3 do uchwały Nr LIV/496/2022</w:t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Rady Gminy Kobylnica</w:t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z dnia 22 września 2022 r.</w:t>
      </w:r>
    </w:p>
    <w:p w14:paraId="1426ABF7" w14:textId="77777777" w:rsidR="006A5209" w:rsidRPr="0030636C" w:rsidRDefault="006A5209" w:rsidP="00182F43">
      <w:pPr>
        <w:pStyle w:val="Tytu"/>
        <w:spacing w:after="240" w:line="276" w:lineRule="auto"/>
        <w:jc w:val="left"/>
        <w:rPr>
          <w:rFonts w:ascii="Arial" w:hAnsi="Arial" w:cs="Arial"/>
          <w:b/>
          <w:bCs/>
          <w:sz w:val="22"/>
          <w:szCs w:val="22"/>
          <w:u w:color="000000"/>
        </w:rPr>
      </w:pPr>
      <w:r w:rsidRPr="0030636C">
        <w:rPr>
          <w:rFonts w:ascii="Arial" w:hAnsi="Arial" w:cs="Arial"/>
          <w:b/>
          <w:bCs/>
          <w:sz w:val="22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finansowania, zgodnie z przepisami o finansach publicznych</w:t>
      </w:r>
    </w:p>
    <w:p w14:paraId="2A9FE857" w14:textId="77777777" w:rsidR="006A5209" w:rsidRPr="007C5EB6" w:rsidRDefault="006A5209" w:rsidP="00182F43">
      <w:pPr>
        <w:spacing w:before="120" w:after="24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color w:val="000000"/>
          <w:szCs w:val="22"/>
          <w:u w:color="000000"/>
        </w:rPr>
        <w:t>SPOSOBY REALIZACJI INWESTYCJI Z ZAKRESU INFRASTRUKTURY TECHNICZNEJ DLA TERENU OBJĘTEGO PLANEM</w:t>
      </w:r>
    </w:p>
    <w:p w14:paraId="53A121A1" w14:textId="77777777" w:rsidR="006A5209" w:rsidRPr="007C5EB6" w:rsidRDefault="006A5209" w:rsidP="00182F4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1. </w:t>
      </w:r>
      <w:r w:rsidRPr="007C5EB6">
        <w:rPr>
          <w:rFonts w:ascii="Arial" w:hAnsi="Arial" w:cs="Arial"/>
          <w:color w:val="000000"/>
          <w:szCs w:val="22"/>
          <w:u w:color="000000"/>
        </w:rPr>
        <w:t>Obszar objęty planem zlokalizowany jest w granicach obowiązywania:</w:t>
      </w:r>
    </w:p>
    <w:p w14:paraId="6793F707" w14:textId="77777777" w:rsidR="006A5209" w:rsidRPr="007C5EB6" w:rsidRDefault="006A5209" w:rsidP="00182F43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wsi Łosino z fragmentem Zajączkowa, </w:t>
      </w:r>
      <w:r w:rsidRPr="007C5EB6">
        <w:rPr>
          <w:rFonts w:ascii="Arial" w:hAnsi="Arial" w:cs="Arial"/>
          <w:i/>
          <w:color w:val="000000"/>
          <w:szCs w:val="22"/>
          <w:u w:color="000000"/>
        </w:rPr>
        <w:t>przyjętego Uchwałą Nr V/56/2007 Rady Gminy Kobylnica z dnia 26 stycznia 2007 r.,</w:t>
      </w:r>
    </w:p>
    <w:p w14:paraId="3278A3B5" w14:textId="77777777" w:rsidR="006A5209" w:rsidRPr="007C5EB6" w:rsidRDefault="006A5209" w:rsidP="00182F43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pn. „Obwodnica południowa dla miasta Słupsk” na obszarze gminy Kobylnica, </w:t>
      </w:r>
      <w:r w:rsidRPr="007C5EB6">
        <w:rPr>
          <w:rFonts w:ascii="Arial" w:hAnsi="Arial" w:cs="Arial"/>
          <w:i/>
          <w:color w:val="000000"/>
          <w:szCs w:val="22"/>
          <w:u w:color="000000"/>
        </w:rPr>
        <w:t>przyjętego Uchwałą Nr LI/485/2014 Rady Gminy Kobylnica z dnia 4 września 2014.</w:t>
      </w:r>
    </w:p>
    <w:p w14:paraId="592D1A43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W granicach obszaru objętego planem nie występuje żadna sieć infrastruktury technicznej. W najbliższym sąsiedztwie zlokalizowana jest sieć wodociągowa, sieć elektroenergetyczna, sieć telekomunikacyjna oraz sieć kanalizacji sanitarnej. W związku z uchwaleniem planu może wystąpić konieczność rozbudowy sieci infrastruktury technicznej. Na obszarze objętym planem nie przewiduje się wydzielenia nowych dróg publicznych.</w:t>
      </w:r>
    </w:p>
    <w:p w14:paraId="32556F6E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Zagospodarowanie obszaru objętego planem powinno być realizowane w sposób umożliwiający spójne przygotowanie poszczególnych terenów w zakresie obsługi komunikacyjnej i infrastrukturalnej. Oznacza to:</w:t>
      </w:r>
    </w:p>
    <w:p w14:paraId="12A0A8CE" w14:textId="77777777" w:rsidR="006A5209" w:rsidRPr="007C5EB6" w:rsidRDefault="006A5209" w:rsidP="00182F43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dzielenie obszarów rozwojowych na fragmenty pozwalające na skoordynowany rozwój zabudowy i wykonanie infrastruktury technicznej i komunikacyjnej,</w:t>
      </w:r>
    </w:p>
    <w:p w14:paraId="38789225" w14:textId="77777777" w:rsidR="006A5209" w:rsidRPr="007C5EB6" w:rsidRDefault="006A5209" w:rsidP="00182F43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wyznaczanie terenów do zainwestowania winno być oparte o ocenę dostępności do infrastruktury i obsługi komunikacyjnej, zaczynając od terenów już uzbrojonych, następnie przeznaczając do zainwestowania tereny w bezpośrednim sąsiedztwie uzbrojonych obszarów istniejącej zabudowy, w dalszej kolejności tereny w sąsiedztwie dróg i terenów już zabudowanych, do których doprowadzenie infrastruktury jest możliwe w przewidywanej perspektywie zagospodarowania przedmiotowego terenu,</w:t>
      </w:r>
    </w:p>
    <w:p w14:paraId="048B6ED6" w14:textId="77777777" w:rsidR="006A5209" w:rsidRPr="007C5EB6" w:rsidRDefault="006A5209" w:rsidP="00182F43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terminy dopuszczania terenów do zainwestowania powinny być zgodne z etapowaniem rozwoju infrastruktury technicznej i możliwościami budżetowymi właściwych organów administracji publicznej, zgodnie z przepisami o finansach publicznych.</w:t>
      </w:r>
    </w:p>
    <w:p w14:paraId="7427AF9A" w14:textId="77777777" w:rsidR="006A5209" w:rsidRPr="007C5EB6" w:rsidRDefault="006A5209" w:rsidP="00182F4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2. </w:t>
      </w:r>
      <w:r w:rsidRPr="007C5EB6">
        <w:rPr>
          <w:rFonts w:ascii="Arial" w:hAnsi="Arial" w:cs="Arial"/>
          <w:color w:val="000000"/>
          <w:szCs w:val="22"/>
          <w:u w:color="000000"/>
        </w:rPr>
        <w:t>Zaleca się bieżące koordynowanie realizacji programów budowy i modernizacji infrastruktury technicznej.</w:t>
      </w:r>
    </w:p>
    <w:p w14:paraId="31889910" w14:textId="77777777" w:rsidR="006A5209" w:rsidRPr="007C5EB6" w:rsidRDefault="006A5209" w:rsidP="00182F4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lastRenderedPageBreak/>
        <w:t>3. </w:t>
      </w:r>
      <w:r w:rsidRPr="007C5EB6">
        <w:rPr>
          <w:rFonts w:ascii="Arial" w:hAnsi="Arial" w:cs="Arial"/>
          <w:color w:val="000000"/>
          <w:szCs w:val="22"/>
          <w:u w:color="000000"/>
        </w:rPr>
        <w:t>Zaleca się stosowanie zasady realizacji przedsięwzięć kompleksowych, łączących wykonawstwo robót drogowych oraz urządzeń technicznych związanych z drogą z innymi branżami infrastruktury technicznej, co pozwala uzyskać oszczędności na części wspólnej robót oraz rozwiązać problem kolizji technicznych. Podejmując decyzje o budowie infrastruktury, trzeba się jednak kierować rachunkiem ekonomicznym i uruchamiać takie programy, które zapewniają uzyskiwanie określonego potencjału infrastruktury przy możliwie najniższych nakładach jednostkowych. W związku z tym zaleca się wybór takich rozwiązań i programów budowy, udoskonaleń lub rozbudowy infrastruktury, której dają gwarancję możliwie szybkiej realizacji całego zamierzenia i stworzenie korzystnej sytuacji lokalizacyjnej.</w:t>
      </w:r>
    </w:p>
    <w:p w14:paraId="6064C6DD" w14:textId="77777777" w:rsidR="006A5209" w:rsidRPr="007C5EB6" w:rsidRDefault="006A5209" w:rsidP="00182F43">
      <w:pPr>
        <w:spacing w:before="120" w:after="120" w:line="276" w:lineRule="auto"/>
        <w:jc w:val="left"/>
        <w:rPr>
          <w:rFonts w:ascii="Arial" w:hAnsi="Arial" w:cs="Arial"/>
          <w:b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color w:val="000000"/>
          <w:szCs w:val="22"/>
          <w:u w:color="000000"/>
        </w:rPr>
        <w:t>ZASADY FINANSOWANIA INWESTYCJI Z ZAKRESU INFRASTRUKTURY TECHNICZNEJ</w:t>
      </w:r>
    </w:p>
    <w:p w14:paraId="152DF424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Źródła finansowania inwestycji z zakresu infrastruktury mogą stanowić: środki pochodzące z budżetu Gminy (środki własne), środki pomocowe, partycypacja inwestorów w kosztach budowy. Będzie to realizowane za pomocą montaży finansowych, ogólnie przyjętej metody konstruowania budżetu projektów.</w:t>
      </w:r>
    </w:p>
    <w:p w14:paraId="1EFBB31E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Programy realizujące poszczególne cele powinny zostać podzielone na projekty realizujące zamknięte zadania, w ramach których jednoznacznie można skalkulować koszty oraz ściśle zdefiniować efekty na poszczególnych etapach realizacji. Dla tak skonstruowanych projektów można ubiegać się o dofinansowanie ze środków pomocowych (UE, Narodowego Funduszu Ochrony Środowiska, Ekofunduszu).</w:t>
      </w:r>
    </w:p>
    <w:p w14:paraId="3913358E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Finansowanie inwestycji z zakresu infrastruktury technicznej (budowa/modernizacja):</w:t>
      </w:r>
    </w:p>
    <w:p w14:paraId="30FA5025" w14:textId="77777777" w:rsidR="006A5209" w:rsidRPr="007C5EB6" w:rsidRDefault="006A5209" w:rsidP="00182F43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I. </w:t>
      </w:r>
      <w:r w:rsidRPr="007C5EB6">
        <w:rPr>
          <w:rFonts w:ascii="Arial" w:hAnsi="Arial" w:cs="Arial"/>
          <w:color w:val="000000"/>
          <w:szCs w:val="22"/>
          <w:u w:color="000000"/>
        </w:rPr>
        <w:t>Opracowanie wieloletniego planu finansowego zapewniającego realizację inwestycji z zakresu infrastruktury technicznej, stanowiącego podstawę konstruowania budżetów rocznych.</w:t>
      </w:r>
    </w:p>
    <w:p w14:paraId="0DE160D4" w14:textId="77777777" w:rsidR="006A5209" w:rsidRPr="007C5EB6" w:rsidRDefault="006A5209" w:rsidP="00182F43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II. </w:t>
      </w:r>
      <w:r w:rsidRPr="007C5EB6">
        <w:rPr>
          <w:rFonts w:ascii="Arial" w:hAnsi="Arial" w:cs="Arial"/>
          <w:color w:val="000000"/>
          <w:szCs w:val="22"/>
          <w:u w:color="000000"/>
        </w:rPr>
        <w:t>Wynegocjowanie i zawarcie z partnerami publicznymi i prywatnymi umów na współfinansowanie zapisanych w wieloletnim planie finansowym przedsięwzięć będących podstawą budowy montaży finansowych niezbędnych do realizacji inwestycji.</w:t>
      </w:r>
    </w:p>
    <w:p w14:paraId="1A4C6023" w14:textId="77777777" w:rsidR="006A5209" w:rsidRPr="007C5EB6" w:rsidRDefault="006A5209" w:rsidP="00182F43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III. </w:t>
      </w:r>
      <w:r w:rsidRPr="007C5EB6">
        <w:rPr>
          <w:rFonts w:ascii="Arial" w:hAnsi="Arial" w:cs="Arial"/>
          <w:color w:val="000000"/>
          <w:szCs w:val="22"/>
          <w:u w:color="000000"/>
        </w:rPr>
        <w:t>Zapewnienie finansowania programów lokalnych, w takim stopniu, aby gmina posiadała udział własny niezbędny do ubiegania się o środki pomocowe.</w:t>
      </w:r>
    </w:p>
    <w:p w14:paraId="7F10DE40" w14:textId="77777777" w:rsidR="006A5209" w:rsidRPr="007C5EB6" w:rsidRDefault="006A5209" w:rsidP="00182F43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IV. </w:t>
      </w:r>
      <w:r w:rsidRPr="007C5EB6">
        <w:rPr>
          <w:rFonts w:ascii="Arial" w:hAnsi="Arial" w:cs="Arial"/>
          <w:color w:val="000000"/>
          <w:szCs w:val="22"/>
          <w:u w:color="000000"/>
        </w:rPr>
        <w:t>Wsparcie finansów gminy środkami zewnętrznymi (kredytami, pożyczkami, dotacjami, emisją obligacji), w celu zapewnienia środków na szczególnie kosztowne w realizacji projekty, np. w zakresie infrastruktury technicznej i drogownictwa.</w:t>
      </w:r>
    </w:p>
    <w:p w14:paraId="452B3EA7" w14:textId="77777777" w:rsidR="006A5209" w:rsidRPr="007C5EB6" w:rsidRDefault="006A5209" w:rsidP="00182F4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Zasady prowadzenia polityki finansowej:</w:t>
      </w:r>
    </w:p>
    <w:p w14:paraId="270F5AD2" w14:textId="77777777" w:rsidR="006A5209" w:rsidRPr="007C5EB6" w:rsidRDefault="006A5209" w:rsidP="00182F43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I. </w:t>
      </w:r>
      <w:r w:rsidRPr="007C5EB6">
        <w:rPr>
          <w:rFonts w:ascii="Arial" w:hAnsi="Arial" w:cs="Arial"/>
          <w:color w:val="000000"/>
          <w:szCs w:val="22"/>
          <w:u w:color="000000"/>
        </w:rPr>
        <w:t>Konstruowanie rocznych budżetów powinno odbywać się w kontekście wieloletniej polityki finansowej gminy, nastawionej na realizację inwestycji z zakresu infrastruktury technicznej.</w:t>
      </w:r>
    </w:p>
    <w:p w14:paraId="4C15B336" w14:textId="131BEF14" w:rsidR="009570D2" w:rsidRDefault="006A5209" w:rsidP="00182F43">
      <w:pPr>
        <w:spacing w:line="276" w:lineRule="auto"/>
        <w:jc w:val="left"/>
      </w:pPr>
      <w:r w:rsidRPr="007C5EB6">
        <w:rPr>
          <w:rFonts w:ascii="Arial" w:hAnsi="Arial" w:cs="Arial"/>
          <w:b/>
          <w:szCs w:val="22"/>
        </w:rPr>
        <w:t>II. </w:t>
      </w:r>
      <w:r w:rsidRPr="007C5EB6">
        <w:rPr>
          <w:rFonts w:ascii="Arial" w:hAnsi="Arial" w:cs="Arial"/>
          <w:color w:val="000000"/>
          <w:szCs w:val="22"/>
          <w:u w:color="000000"/>
        </w:rPr>
        <w:t>Źródła finansowe związane z korzyściami opracowanego miejscowego planu zagospodarowania przestrzennego powinny być przeznaczone na rozwój przestrzenny i infrastrukturalny</w:t>
      </w:r>
    </w:p>
    <w:sectPr w:rsidR="0095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182F43"/>
    <w:rsid w:val="0050534C"/>
    <w:rsid w:val="006A5209"/>
    <w:rsid w:val="007A3E87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361C"/>
  <w15:chartTrackingRefBased/>
  <w15:docId w15:val="{4B1EDC6F-CE5A-4D9E-A3A1-1A6EAF7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6A52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6A5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A5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</dc:title>
  <dc:subject/>
  <dc:creator>Iwona Mieczkowska</dc:creator>
  <cp:keywords>rozstrzygnięcie, kobylnica</cp:keywords>
  <dc:description/>
  <cp:lastModifiedBy>Radosław Sawicki</cp:lastModifiedBy>
  <cp:revision>2</cp:revision>
  <dcterms:created xsi:type="dcterms:W3CDTF">2022-09-29T09:43:00Z</dcterms:created>
  <dcterms:modified xsi:type="dcterms:W3CDTF">2022-10-17T11:59:00Z</dcterms:modified>
</cp:coreProperties>
</file>