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F16FA" w14:textId="77777777" w:rsidR="00F23001" w:rsidRPr="0007187A" w:rsidRDefault="00F23001" w:rsidP="0007187A">
      <w:pPr>
        <w:pStyle w:val="Nagwek1"/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07187A">
        <w:rPr>
          <w:rFonts w:ascii="Arial" w:hAnsi="Arial" w:cs="Arial"/>
          <w:b/>
          <w:bCs/>
          <w:color w:val="auto"/>
          <w:sz w:val="22"/>
          <w:szCs w:val="22"/>
        </w:rPr>
        <w:t>Załącznik nr 2 do decyzji nr GPŚ.6730.9.2024.PP</w:t>
      </w:r>
    </w:p>
    <w:p w14:paraId="67006B6F" w14:textId="77777777" w:rsidR="00F23001" w:rsidRPr="0007187A" w:rsidRDefault="00F23001" w:rsidP="0007187A">
      <w:pPr>
        <w:pStyle w:val="Tytu"/>
        <w:spacing w:after="240"/>
        <w:rPr>
          <w:rFonts w:ascii="Arial" w:hAnsi="Arial" w:cs="Arial"/>
          <w:b/>
          <w:bCs/>
          <w:sz w:val="20"/>
          <w:szCs w:val="20"/>
        </w:rPr>
      </w:pPr>
      <w:r w:rsidRPr="0007187A">
        <w:rPr>
          <w:rFonts w:ascii="Arial" w:hAnsi="Arial" w:cs="Arial"/>
          <w:b/>
          <w:bCs/>
          <w:sz w:val="20"/>
          <w:szCs w:val="20"/>
        </w:rPr>
        <w:t>ANALIZA FUNKCJI ORAZ CECH ZABUDOWY I ZAGOSPODAROWANIA TERENU W ZAKRESIE NIEZBĘDNYM DO USTALENIA WARUNKÓW DLA NOWEJ ZABUDOWY</w:t>
      </w:r>
    </w:p>
    <w:p w14:paraId="5975A111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after="240" w:line="216" w:lineRule="auto"/>
        <w:ind w:left="1077" w:right="0" w:hanging="1077"/>
        <w:rPr>
          <w:sz w:val="20"/>
          <w:szCs w:val="20"/>
        </w:rPr>
      </w:pPr>
      <w:r w:rsidRPr="00B1227F">
        <w:rPr>
          <w:color w:val="000000"/>
          <w:sz w:val="20"/>
          <w:szCs w:val="20"/>
        </w:rPr>
        <w:t>Podstawa prawna:</w:t>
      </w:r>
    </w:p>
    <w:p w14:paraId="10B0E1AB" w14:textId="01B0D01D" w:rsidR="00F23001" w:rsidRPr="00B1227F" w:rsidRDefault="00F23001" w:rsidP="0007187A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840"/>
          <w:tab w:val="left" w:pos="1140"/>
        </w:tabs>
        <w:spacing w:before="57"/>
        <w:ind w:left="397" w:hanging="340"/>
        <w:rPr>
          <w:rFonts w:ascii="Arial" w:hAnsi="Arial" w:cs="Arial"/>
          <w:i/>
          <w:iCs/>
          <w:sz w:val="20"/>
          <w:szCs w:val="20"/>
        </w:rPr>
      </w:pPr>
      <w:r w:rsidRPr="00B1227F">
        <w:rPr>
          <w:rFonts w:ascii="Arial" w:hAnsi="Arial" w:cs="Arial"/>
          <w:i/>
          <w:iCs/>
          <w:sz w:val="20"/>
          <w:szCs w:val="20"/>
        </w:rPr>
        <w:t>art. 4 ust. 2 pkt. 2, art. 53 ust. 4, art. 59 ust. 1, art. 60 ust. 1, 4, art. 63 64aa art. 63 ust. 2, 4, art. 64 ust. 1 ustawy z dnia 7 lipca 2023 roku o planowaniu i zagospodarowaniu przestrzenny (tekst jednolity: Dz. U. z 2023 r., poz.977 ze z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B1227F">
        <w:rPr>
          <w:rFonts w:ascii="Arial" w:hAnsi="Arial" w:cs="Arial"/>
          <w:i/>
          <w:iCs/>
          <w:sz w:val="20"/>
          <w:szCs w:val="20"/>
        </w:rPr>
        <w:t>.);</w:t>
      </w:r>
    </w:p>
    <w:p w14:paraId="6CCE2473" w14:textId="77777777" w:rsidR="00F23001" w:rsidRPr="00B1227F" w:rsidRDefault="00F23001" w:rsidP="0007187A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840"/>
          <w:tab w:val="left" w:pos="1140"/>
        </w:tabs>
        <w:spacing w:before="57"/>
        <w:ind w:left="397" w:hanging="340"/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i/>
          <w:iCs/>
          <w:color w:val="000000"/>
          <w:sz w:val="20"/>
          <w:szCs w:val="20"/>
        </w:rPr>
        <w:t>§ 1-9 Rozporządzenia Ministra Infrastruktury z dnia 26 sierpnia 2003 roku w sprawie sposobu ustalania wymagań dotyczących nowej zabudowy i zagospodarowania terenu w przypadku braku miejscowego planu zagospodarowania przestrzennego (Dz. U. Nr 164, poz. 1588).</w:t>
      </w:r>
    </w:p>
    <w:p w14:paraId="6BEB271A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line="216" w:lineRule="auto"/>
        <w:ind w:right="0" w:hanging="1080"/>
        <w:rPr>
          <w:color w:val="000000"/>
          <w:sz w:val="20"/>
          <w:szCs w:val="20"/>
        </w:rPr>
      </w:pPr>
      <w:r w:rsidRPr="00B1227F">
        <w:rPr>
          <w:color w:val="000000"/>
          <w:sz w:val="20"/>
          <w:szCs w:val="20"/>
        </w:rPr>
        <w:t>Charakterystyka przedsięwzięcia:</w:t>
      </w:r>
      <w:r w:rsidRPr="00B1227F">
        <w:rPr>
          <w:spacing w:val="-6"/>
          <w:sz w:val="20"/>
          <w:szCs w:val="20"/>
          <w:lang w:eastAsia="ar-SA"/>
        </w:rPr>
        <w:t xml:space="preserve"> </w:t>
      </w:r>
    </w:p>
    <w:p w14:paraId="3747FC31" w14:textId="77777777" w:rsidR="00F23001" w:rsidRPr="00B1227F" w:rsidRDefault="00F23001" w:rsidP="0007187A">
      <w:pPr>
        <w:pStyle w:val="FR1"/>
        <w:tabs>
          <w:tab w:val="left" w:pos="284"/>
        </w:tabs>
        <w:spacing w:line="216" w:lineRule="auto"/>
        <w:ind w:right="0"/>
        <w:rPr>
          <w:color w:val="000000"/>
          <w:sz w:val="20"/>
          <w:szCs w:val="20"/>
        </w:rPr>
      </w:pPr>
      <w:r w:rsidRPr="00B1227F">
        <w:rPr>
          <w:b w:val="0"/>
          <w:bCs w:val="0"/>
          <w:sz w:val="20"/>
          <w:szCs w:val="20"/>
        </w:rPr>
        <w:t>budowa biogazowni rolniczej wraz z obiektami budowlanymi, urządzeniami i instalacjami z tym związanymi oraz niezbędną infrastruktur</w:t>
      </w:r>
      <w:r>
        <w:rPr>
          <w:b w:val="0"/>
          <w:bCs w:val="0"/>
          <w:sz w:val="20"/>
          <w:szCs w:val="20"/>
        </w:rPr>
        <w:t>ą</w:t>
      </w:r>
      <w:r w:rsidRPr="00B1227F">
        <w:rPr>
          <w:b w:val="0"/>
          <w:bCs w:val="0"/>
          <w:sz w:val="20"/>
          <w:szCs w:val="20"/>
        </w:rPr>
        <w:t xml:space="preserve"> techniczn</w:t>
      </w:r>
      <w:r>
        <w:rPr>
          <w:b w:val="0"/>
          <w:bCs w:val="0"/>
          <w:sz w:val="20"/>
          <w:szCs w:val="20"/>
        </w:rPr>
        <w:t>ą</w:t>
      </w:r>
      <w:r w:rsidRPr="00B1227F">
        <w:rPr>
          <w:b w:val="0"/>
          <w:bCs w:val="0"/>
          <w:sz w:val="20"/>
          <w:szCs w:val="20"/>
        </w:rPr>
        <w:t xml:space="preserve"> na działce nr 12/13 obręb Płaszewo gmina Kobylnica- inwestycja realizowana na części działki nr 12/13 obręb Płaszewo gmina Kobylnica.</w:t>
      </w:r>
    </w:p>
    <w:p w14:paraId="027D00CE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line="216" w:lineRule="auto"/>
        <w:ind w:right="0" w:hanging="1080"/>
        <w:rPr>
          <w:color w:val="000000"/>
          <w:sz w:val="20"/>
          <w:szCs w:val="20"/>
        </w:rPr>
      </w:pPr>
      <w:r w:rsidRPr="00B1227F">
        <w:rPr>
          <w:color w:val="000000"/>
          <w:sz w:val="20"/>
          <w:szCs w:val="20"/>
        </w:rPr>
        <w:t>Analiza stanu faktycznego terenu objętego wnioskiem :</w:t>
      </w:r>
    </w:p>
    <w:p w14:paraId="10948B46" w14:textId="77777777" w:rsidR="00F23001" w:rsidRPr="00B1227F" w:rsidRDefault="00F23001" w:rsidP="0007187A">
      <w:pPr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sz w:val="20"/>
          <w:szCs w:val="20"/>
        </w:rPr>
        <w:t>Teren inwestycji</w:t>
      </w:r>
      <w:r>
        <w:rPr>
          <w:rFonts w:ascii="Arial" w:hAnsi="Arial" w:cs="Arial"/>
          <w:sz w:val="20"/>
          <w:szCs w:val="20"/>
        </w:rPr>
        <w:t>:</w:t>
      </w:r>
      <w:r w:rsidRPr="00B1227F">
        <w:rPr>
          <w:rFonts w:ascii="Arial" w:hAnsi="Arial" w:cs="Arial"/>
          <w:sz w:val="20"/>
          <w:szCs w:val="20"/>
        </w:rPr>
        <w:t xml:space="preserve"> część działki nr </w:t>
      </w:r>
      <w:r w:rsidRPr="00B1227F">
        <w:rPr>
          <w:rFonts w:ascii="Arial" w:hAnsi="Arial" w:cs="Arial"/>
          <w:spacing w:val="-6"/>
          <w:sz w:val="20"/>
          <w:szCs w:val="20"/>
          <w:lang w:eastAsia="ar-SA"/>
        </w:rPr>
        <w:t>12/13 obręb Płaszewo</w:t>
      </w:r>
      <w:r>
        <w:rPr>
          <w:rFonts w:ascii="Arial" w:hAnsi="Arial" w:cs="Arial"/>
          <w:spacing w:val="-6"/>
          <w:sz w:val="20"/>
          <w:szCs w:val="20"/>
          <w:lang w:eastAsia="ar-SA"/>
        </w:rPr>
        <w:t>,</w:t>
      </w:r>
      <w:r w:rsidRPr="00B1227F">
        <w:rPr>
          <w:rFonts w:ascii="Arial" w:hAnsi="Arial" w:cs="Arial"/>
          <w:spacing w:val="-6"/>
          <w:sz w:val="20"/>
          <w:szCs w:val="20"/>
          <w:lang w:eastAsia="ar-SA"/>
        </w:rPr>
        <w:t xml:space="preserve"> gmina Kobylnica</w:t>
      </w:r>
      <w:r w:rsidRPr="00B1227F">
        <w:rPr>
          <w:rFonts w:ascii="Arial" w:hAnsi="Arial" w:cs="Arial"/>
          <w:sz w:val="20"/>
          <w:szCs w:val="20"/>
        </w:rPr>
        <w:t xml:space="preserve">. </w:t>
      </w:r>
    </w:p>
    <w:p w14:paraId="4655B2F8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line="216" w:lineRule="auto"/>
        <w:ind w:right="0" w:hanging="1080"/>
        <w:rPr>
          <w:color w:val="000000"/>
          <w:sz w:val="20"/>
          <w:szCs w:val="20"/>
        </w:rPr>
      </w:pPr>
      <w:r w:rsidRPr="00B1227F">
        <w:rPr>
          <w:color w:val="000000"/>
          <w:sz w:val="20"/>
          <w:szCs w:val="20"/>
        </w:rPr>
        <w:t xml:space="preserve"> Cechy zabudowy i zagospodarowania terenu w obszarze analizy: </w:t>
      </w:r>
    </w:p>
    <w:p w14:paraId="60BF9C66" w14:textId="77777777" w:rsidR="00F23001" w:rsidRPr="00B1227F" w:rsidRDefault="00F23001" w:rsidP="0007187A">
      <w:pPr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sz w:val="20"/>
          <w:szCs w:val="20"/>
        </w:rPr>
        <w:t xml:space="preserve">Zgodnie z art. 61 ust. 3 ustawy z dnia 7 lipca 2023 r. o planowaniu i zagospodarowaniu przestrzennym, dla wnioskowanej inwestycji nie stosuje się przepisów art. 61 ust. 1 pkt 1 i 2 ww. ustawy, gdyż zalicza się do instalacji odnawialnego źródła energii w rozumieniu art. 2 pkt 13 ustawy z dnia 20 lutego 2015 r.  </w:t>
      </w:r>
      <w:r>
        <w:rPr>
          <w:rFonts w:ascii="Arial" w:hAnsi="Arial" w:cs="Arial"/>
          <w:sz w:val="20"/>
          <w:szCs w:val="20"/>
        </w:rPr>
        <w:br/>
      </w:r>
      <w:r w:rsidRPr="00B1227F">
        <w:rPr>
          <w:rFonts w:ascii="Arial" w:hAnsi="Arial" w:cs="Arial"/>
          <w:sz w:val="20"/>
          <w:szCs w:val="20"/>
        </w:rPr>
        <w:t>o odnawialnych źródłach energii</w:t>
      </w:r>
      <w:r>
        <w:rPr>
          <w:rFonts w:ascii="Arial" w:hAnsi="Arial" w:cs="Arial"/>
          <w:sz w:val="20"/>
          <w:szCs w:val="20"/>
        </w:rPr>
        <w:t xml:space="preserve"> </w:t>
      </w:r>
      <w:r w:rsidRPr="00B1227F">
        <w:rPr>
          <w:rFonts w:ascii="Arial" w:hAnsi="Arial" w:cs="Arial"/>
          <w:sz w:val="20"/>
          <w:szCs w:val="20"/>
        </w:rPr>
        <w:t>- ustalono na podstawie wniosku.</w:t>
      </w:r>
    </w:p>
    <w:p w14:paraId="73B1C61C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line="216" w:lineRule="auto"/>
        <w:ind w:right="0" w:hanging="1080"/>
        <w:rPr>
          <w:sz w:val="20"/>
          <w:szCs w:val="20"/>
        </w:rPr>
      </w:pPr>
      <w:r w:rsidRPr="00B1227F">
        <w:rPr>
          <w:color w:val="000000"/>
          <w:sz w:val="20"/>
          <w:szCs w:val="20"/>
        </w:rPr>
        <w:t>Obsługa w zakresie komunikacji:</w:t>
      </w:r>
    </w:p>
    <w:p w14:paraId="060A09D3" w14:textId="77777777" w:rsidR="00F23001" w:rsidRPr="00B1227F" w:rsidRDefault="00F23001" w:rsidP="0007187A">
      <w:pPr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>Na potrzeby transportu kołowego związanego z budową, obsługą i eksploatacją biogazowni rolniczej zlokalizowanej na działce nr 12/13 obręb Płaszewo zostanie zaprojektowana i wybudowana droga dojazdowa wraz ze zjazdem z drogi krajowej nr 21 zlokalizowanej na działce nr 6. Przedmiotowa droga dojazdowa będzie zlokalizowana na działce nr 8 i 94 obręb Płaszewo. Zgodnie z aktualnym wypisem z rejestru gruntów działki nr 8 i 94 są oznaczone jako droga. Nawierzchnia drogi dojazdowej i zjazdu będzie zaprojektowana jako utwardzona</w:t>
      </w:r>
      <w:r w:rsidRPr="00B1227F">
        <w:rPr>
          <w:rFonts w:ascii="Arial" w:hAnsi="Arial" w:cs="Arial"/>
          <w:sz w:val="20"/>
          <w:szCs w:val="20"/>
        </w:rPr>
        <w:t xml:space="preserve">. </w:t>
      </w:r>
    </w:p>
    <w:p w14:paraId="6C8A16E6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line="216" w:lineRule="auto"/>
        <w:ind w:right="0" w:hanging="1080"/>
        <w:rPr>
          <w:sz w:val="20"/>
          <w:szCs w:val="20"/>
        </w:rPr>
      </w:pPr>
      <w:r w:rsidRPr="00B1227F">
        <w:rPr>
          <w:color w:val="000000"/>
          <w:sz w:val="20"/>
          <w:szCs w:val="20"/>
        </w:rPr>
        <w:t>Obsługa w zakresie infrastruktury technicznej :</w:t>
      </w:r>
    </w:p>
    <w:p w14:paraId="089D643A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 xml:space="preserve">przyłącze elektroenergetyczne </w:t>
      </w:r>
      <w:r w:rsidRPr="00B1227F">
        <w:rPr>
          <w:rFonts w:ascii="Arial" w:eastAsia="Batang" w:hAnsi="Arial" w:cs="Arial"/>
          <w:sz w:val="20"/>
          <w:szCs w:val="20"/>
        </w:rPr>
        <w:softHyphen/>
        <w:t xml:space="preserve">– linia elektroenergetyczna, łącząca projektowaną biogazownię </w:t>
      </w:r>
      <w:r>
        <w:rPr>
          <w:rFonts w:ascii="Arial" w:eastAsia="Batang" w:hAnsi="Arial" w:cs="Arial"/>
          <w:sz w:val="20"/>
          <w:szCs w:val="20"/>
        </w:rPr>
        <w:br/>
      </w:r>
      <w:r w:rsidRPr="00B1227F">
        <w:rPr>
          <w:rFonts w:ascii="Arial" w:eastAsia="Batang" w:hAnsi="Arial" w:cs="Arial"/>
          <w:sz w:val="20"/>
          <w:szCs w:val="20"/>
        </w:rPr>
        <w:t>z istniejącą siecią elektroenergetyczną należącą do koncernu energetycznego,</w:t>
      </w:r>
    </w:p>
    <w:p w14:paraId="191AC37D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 xml:space="preserve">przyłącze gazowe i zewnętrzna instalacja gazowa – rurociąg łączący projektowaną biogazownię </w:t>
      </w:r>
      <w:r>
        <w:rPr>
          <w:rFonts w:ascii="Arial" w:eastAsia="Batang" w:hAnsi="Arial" w:cs="Arial"/>
          <w:sz w:val="20"/>
          <w:szCs w:val="20"/>
        </w:rPr>
        <w:br/>
      </w:r>
      <w:r w:rsidRPr="00B1227F">
        <w:rPr>
          <w:rFonts w:ascii="Arial" w:eastAsia="Batang" w:hAnsi="Arial" w:cs="Arial"/>
          <w:sz w:val="20"/>
          <w:szCs w:val="20"/>
        </w:rPr>
        <w:t>z istniejącą siecią gazową operatora zewnętrznego,</w:t>
      </w:r>
    </w:p>
    <w:p w14:paraId="32CA51A7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>przyłącze ciepłownicze – ciepłociąg łączący projektowaną biogazownię</w:t>
      </w:r>
      <w:r>
        <w:rPr>
          <w:rFonts w:ascii="Arial" w:eastAsia="Batang" w:hAnsi="Arial" w:cs="Arial"/>
          <w:sz w:val="20"/>
          <w:szCs w:val="20"/>
        </w:rPr>
        <w:t>,</w:t>
      </w:r>
      <w:r w:rsidRPr="00B1227F">
        <w:rPr>
          <w:rFonts w:ascii="Arial" w:eastAsia="Batang" w:hAnsi="Arial" w:cs="Arial"/>
          <w:sz w:val="20"/>
          <w:szCs w:val="20"/>
        </w:rPr>
        <w:br/>
        <w:t>z ewentualnymi odbiorcami zewnętrznymi (opcja),</w:t>
      </w:r>
    </w:p>
    <w:p w14:paraId="16AB32D6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>przyłącze wodociągowe i zewnętrzna instalacja wodociągowa – rurociąg łączący projektowaną biogazownię z zewnętrzną siecią wodociągową lub projektowaną studnią głębinową do poboru wody (opcja),</w:t>
      </w:r>
    </w:p>
    <w:p w14:paraId="40C9F3F0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 xml:space="preserve">zewnętrzne i wewnętrzne instalacje elektroenergetyczne, teletechniczne, oświetlenia zewnętrznego </w:t>
      </w:r>
      <w:r>
        <w:rPr>
          <w:rFonts w:ascii="Arial" w:eastAsia="Batang" w:hAnsi="Arial" w:cs="Arial"/>
          <w:sz w:val="20"/>
          <w:szCs w:val="20"/>
        </w:rPr>
        <w:br/>
      </w:r>
      <w:r w:rsidRPr="00B1227F">
        <w:rPr>
          <w:rFonts w:ascii="Arial" w:eastAsia="Batang" w:hAnsi="Arial" w:cs="Arial"/>
          <w:sz w:val="20"/>
          <w:szCs w:val="20"/>
        </w:rPr>
        <w:t>i odgromowe,</w:t>
      </w:r>
    </w:p>
    <w:p w14:paraId="1EA020DF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 xml:space="preserve">zewnętrzne i wewnętrzne instalacje wodociągowe, kanalizacyjne, przeciwpożarowe </w:t>
      </w:r>
      <w:r w:rsidRPr="00B1227F">
        <w:rPr>
          <w:rFonts w:ascii="Arial" w:eastAsia="Batang" w:hAnsi="Arial" w:cs="Arial"/>
          <w:sz w:val="20"/>
          <w:szCs w:val="20"/>
        </w:rPr>
        <w:br/>
        <w:t>i technologiczne,</w:t>
      </w:r>
    </w:p>
    <w:p w14:paraId="0019C6F5" w14:textId="77777777" w:rsidR="00F23001" w:rsidRPr="00B1227F" w:rsidRDefault="00F23001" w:rsidP="0007187A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Arial" w:eastAsia="Batang" w:hAnsi="Arial" w:cs="Arial"/>
          <w:sz w:val="20"/>
          <w:szCs w:val="20"/>
        </w:rPr>
      </w:pPr>
      <w:r w:rsidRPr="00B1227F">
        <w:rPr>
          <w:rFonts w:ascii="Arial" w:eastAsia="Batang" w:hAnsi="Arial" w:cs="Arial"/>
          <w:sz w:val="20"/>
          <w:szCs w:val="20"/>
        </w:rPr>
        <w:t>zewnętrzne i wewnętrzne instalacje ciepła technologicznego i centralnego ogrzewania</w:t>
      </w:r>
      <w:r>
        <w:rPr>
          <w:rFonts w:ascii="Arial" w:eastAsia="Batang" w:hAnsi="Arial" w:cs="Arial"/>
          <w:sz w:val="20"/>
          <w:szCs w:val="20"/>
        </w:rPr>
        <w:t>.</w:t>
      </w:r>
    </w:p>
    <w:p w14:paraId="77F26477" w14:textId="77777777" w:rsidR="00F23001" w:rsidRDefault="00F23001" w:rsidP="0007187A">
      <w:pPr>
        <w:rPr>
          <w:rFonts w:ascii="Arial" w:hAnsi="Arial" w:cs="Arial"/>
          <w:sz w:val="20"/>
          <w:szCs w:val="20"/>
          <w:lang w:eastAsia="pl-PL" w:bidi="pl-PL"/>
        </w:rPr>
      </w:pPr>
      <w:r w:rsidRPr="00B1227F">
        <w:rPr>
          <w:rFonts w:ascii="Arial" w:hAnsi="Arial" w:cs="Arial"/>
          <w:sz w:val="20"/>
          <w:szCs w:val="20"/>
          <w:lang w:eastAsia="pl-PL" w:bidi="pl-PL"/>
        </w:rPr>
        <w:t>W przypadku racjonalnego postępowania z odpadami, zgodnie z obowiązującymi przepisami, nie przewiduje się negatywnego oddziaływania na środowiska</w:t>
      </w:r>
      <w:r>
        <w:rPr>
          <w:rFonts w:ascii="Arial" w:hAnsi="Arial" w:cs="Arial"/>
          <w:sz w:val="20"/>
          <w:szCs w:val="20"/>
          <w:lang w:eastAsia="pl-PL" w:bidi="pl-PL"/>
        </w:rPr>
        <w:t>.</w:t>
      </w:r>
    </w:p>
    <w:p w14:paraId="290523AB" w14:textId="77777777" w:rsidR="00F23001" w:rsidRPr="00B1227F" w:rsidRDefault="00F23001" w:rsidP="0007187A">
      <w:pPr>
        <w:pStyle w:val="FR1"/>
        <w:numPr>
          <w:ilvl w:val="1"/>
          <w:numId w:val="3"/>
        </w:numPr>
        <w:tabs>
          <w:tab w:val="left" w:pos="284"/>
        </w:tabs>
        <w:spacing w:before="120" w:line="216" w:lineRule="auto"/>
        <w:ind w:left="1077" w:right="0" w:hanging="1077"/>
        <w:rPr>
          <w:b w:val="0"/>
          <w:bCs w:val="0"/>
          <w:sz w:val="20"/>
          <w:szCs w:val="20"/>
          <w:lang w:eastAsia="pl-PL" w:bidi="pl-PL"/>
        </w:rPr>
      </w:pPr>
      <w:r w:rsidRPr="00B1227F">
        <w:rPr>
          <w:color w:val="000000"/>
          <w:sz w:val="20"/>
          <w:szCs w:val="20"/>
        </w:rPr>
        <w:t>Ochrona gruntów rolnych i leśnych:</w:t>
      </w:r>
    </w:p>
    <w:p w14:paraId="453610BE" w14:textId="77777777" w:rsidR="00F23001" w:rsidRPr="00B1227F" w:rsidRDefault="00F23001" w:rsidP="0007187A">
      <w:pPr>
        <w:pStyle w:val="FR1"/>
        <w:tabs>
          <w:tab w:val="left" w:pos="284"/>
        </w:tabs>
        <w:spacing w:line="216" w:lineRule="auto"/>
        <w:ind w:right="0"/>
        <w:rPr>
          <w:b w:val="0"/>
          <w:bCs w:val="0"/>
          <w:sz w:val="20"/>
          <w:szCs w:val="20"/>
          <w:lang w:eastAsia="pl-PL" w:bidi="pl-PL"/>
        </w:rPr>
      </w:pPr>
      <w:r w:rsidRPr="00B1227F">
        <w:rPr>
          <w:b w:val="0"/>
          <w:bCs w:val="0"/>
          <w:sz w:val="20"/>
          <w:szCs w:val="20"/>
          <w:lang w:eastAsia="pl-PL" w:bidi="pl-PL"/>
        </w:rPr>
        <w:t xml:space="preserve">Planowana inwestycja na terenach rolniczych w obszarze gruntów RIV, RV, RVI, </w:t>
      </w:r>
      <w:proofErr w:type="spellStart"/>
      <w:r w:rsidRPr="00B1227F">
        <w:rPr>
          <w:b w:val="0"/>
          <w:bCs w:val="0"/>
          <w:sz w:val="20"/>
          <w:szCs w:val="20"/>
          <w:lang w:eastAsia="pl-PL" w:bidi="pl-PL"/>
        </w:rPr>
        <w:t>PsV</w:t>
      </w:r>
      <w:proofErr w:type="spellEnd"/>
      <w:r>
        <w:rPr>
          <w:b w:val="0"/>
          <w:bCs w:val="0"/>
          <w:sz w:val="20"/>
          <w:szCs w:val="20"/>
          <w:lang w:eastAsia="pl-PL" w:bidi="pl-PL"/>
        </w:rPr>
        <w:t>.</w:t>
      </w:r>
    </w:p>
    <w:p w14:paraId="462D16A6" w14:textId="77777777" w:rsidR="00F23001" w:rsidRPr="00B1227F" w:rsidRDefault="00F23001" w:rsidP="0007187A">
      <w:pPr>
        <w:tabs>
          <w:tab w:val="left" w:pos="1080"/>
          <w:tab w:val="left" w:pos="1210"/>
        </w:tabs>
        <w:spacing w:after="57"/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sz w:val="20"/>
          <w:szCs w:val="20"/>
        </w:rPr>
        <w:t xml:space="preserve">Zaistniałą sprawę poddano analizie </w:t>
      </w:r>
      <w:r w:rsidRPr="00B1227F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A83A71">
        <w:rPr>
          <w:rStyle w:val="Teksttreci"/>
          <w:rFonts w:ascii="Arial" w:hAnsi="Arial" w:cs="Arial"/>
          <w:bCs/>
          <w:color w:val="000000"/>
          <w:sz w:val="20"/>
          <w:szCs w:val="20"/>
        </w:rPr>
        <w:t>art. 61 ust. 3</w:t>
      </w:r>
      <w:r w:rsidRPr="00B1227F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227F">
        <w:rPr>
          <w:rFonts w:ascii="Arial" w:hAnsi="Arial" w:cs="Arial"/>
          <w:bCs/>
          <w:iCs/>
          <w:color w:val="000000"/>
          <w:sz w:val="20"/>
          <w:szCs w:val="20"/>
        </w:rPr>
        <w:t>ustawy o planowaniu i zagospodarowaniu przestrzennym cyt.:</w:t>
      </w:r>
    </w:p>
    <w:p w14:paraId="4ACABF09" w14:textId="77777777" w:rsidR="00F23001" w:rsidRPr="00B1227F" w:rsidRDefault="00F23001" w:rsidP="0007187A">
      <w:pPr>
        <w:rPr>
          <w:rFonts w:ascii="Arial" w:hAnsi="Arial" w:cs="Arial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„ Przepisów </w:t>
      </w:r>
      <w:r w:rsidRPr="00B1227F">
        <w:rPr>
          <w:rFonts w:ascii="Arial" w:hAnsi="Arial" w:cs="Arial"/>
          <w:color w:val="000000"/>
          <w:sz w:val="20"/>
          <w:szCs w:val="20"/>
          <w:u w:val="single"/>
        </w:rPr>
        <w:t>ust. 1 pkt 1 i 2 nie stosuje</w:t>
      </w:r>
      <w:r w:rsidRPr="00B1227F">
        <w:rPr>
          <w:rFonts w:ascii="Arial" w:hAnsi="Arial" w:cs="Arial"/>
          <w:color w:val="000000"/>
          <w:sz w:val="20"/>
          <w:szCs w:val="20"/>
        </w:rPr>
        <w:t xml:space="preserve"> się do linii kolejowych, obiektów liniowych i urządzeń infrastruktury technicznej, a także </w:t>
      </w:r>
      <w:r w:rsidRPr="00B1227F">
        <w:rPr>
          <w:rFonts w:ascii="Arial" w:hAnsi="Arial" w:cs="Arial"/>
          <w:color w:val="000000"/>
          <w:sz w:val="20"/>
          <w:szCs w:val="20"/>
          <w:u w:val="single"/>
        </w:rPr>
        <w:t>instalacji odnawialnego źródła energii</w:t>
      </w:r>
      <w:r w:rsidRPr="00B1227F">
        <w:rPr>
          <w:rFonts w:ascii="Arial" w:hAnsi="Arial" w:cs="Arial"/>
          <w:color w:val="000000"/>
          <w:sz w:val="20"/>
          <w:szCs w:val="20"/>
        </w:rPr>
        <w:t xml:space="preserve"> w rozumieniu art. 2 pkt 13 ustawy z dnia 20 lutego 2015 r. o odnawialnych źródłach energii.”</w:t>
      </w:r>
      <w:proofErr w:type="spellStart"/>
      <w:r w:rsidRPr="00B1227F">
        <w:rPr>
          <w:rFonts w:ascii="Arial" w:hAnsi="Arial" w:cs="Arial"/>
          <w:bCs/>
          <w:iCs/>
          <w:color w:val="000000"/>
          <w:sz w:val="20"/>
          <w:szCs w:val="20"/>
        </w:rPr>
        <w:t>cyt</w:t>
      </w:r>
      <w:proofErr w:type="spellEnd"/>
      <w:r w:rsidRPr="00B1227F">
        <w:rPr>
          <w:rFonts w:ascii="Arial" w:hAnsi="Arial" w:cs="Arial"/>
          <w:bCs/>
          <w:iCs/>
          <w:color w:val="000000"/>
          <w:sz w:val="20"/>
          <w:szCs w:val="20"/>
        </w:rPr>
        <w:t>.:</w:t>
      </w:r>
    </w:p>
    <w:p w14:paraId="5F0FA937" w14:textId="77777777" w:rsidR="00F23001" w:rsidRPr="00A83A71" w:rsidRDefault="00F23001" w:rsidP="0007187A">
      <w:pPr>
        <w:pStyle w:val="Standard"/>
        <w:numPr>
          <w:ilvl w:val="0"/>
          <w:numId w:val="1"/>
        </w:numPr>
        <w:suppressAutoHyphens w:val="0"/>
        <w:rPr>
          <w:rFonts w:ascii="Arial" w:hAnsi="Arial"/>
          <w:color w:val="000000"/>
          <w:sz w:val="20"/>
          <w:szCs w:val="20"/>
        </w:rPr>
      </w:pPr>
      <w:r w:rsidRPr="00A83A71">
        <w:rPr>
          <w:rFonts w:ascii="Arial" w:hAnsi="Arial"/>
          <w:sz w:val="20"/>
          <w:szCs w:val="20"/>
        </w:rPr>
        <w:lastRenderedPageBreak/>
        <w:t>Na podstawie Ustawy z dnia 13 lipca 2023 r. o ułatwieniach w przygotowaniu i realizacji inwestycji w zakresie biogazowni rolniczych, a także ich funkcjonowaniu</w:t>
      </w:r>
      <w:r>
        <w:rPr>
          <w:rFonts w:ascii="Arial" w:hAnsi="Arial"/>
          <w:sz w:val="20"/>
          <w:szCs w:val="20"/>
        </w:rPr>
        <w:t xml:space="preserve"> (Dz. U z 2023 poz. 1597)</w:t>
      </w:r>
      <w:r w:rsidRPr="00A83A71">
        <w:rPr>
          <w:rFonts w:ascii="Arial" w:hAnsi="Arial"/>
          <w:sz w:val="20"/>
          <w:szCs w:val="20"/>
        </w:rPr>
        <w:t xml:space="preserve"> zmieniony został w ustawie o planowaniu i zagospodarowaniu przestrzennym</w:t>
      </w:r>
      <w:r>
        <w:rPr>
          <w:rFonts w:ascii="Arial" w:hAnsi="Arial"/>
          <w:sz w:val="20"/>
          <w:szCs w:val="20"/>
        </w:rPr>
        <w:t>,</w:t>
      </w:r>
      <w:r w:rsidRPr="00A83A71">
        <w:rPr>
          <w:rFonts w:ascii="Arial" w:hAnsi="Arial"/>
          <w:sz w:val="20"/>
          <w:szCs w:val="20"/>
        </w:rPr>
        <w:t xml:space="preserve"> </w:t>
      </w:r>
      <w:r w:rsidRPr="00A83A71">
        <w:rPr>
          <w:rFonts w:ascii="Arial" w:hAnsi="Arial"/>
          <w:color w:val="000000"/>
          <w:sz w:val="20"/>
          <w:szCs w:val="20"/>
        </w:rPr>
        <w:t xml:space="preserve">po art. 64a dodaje się art. 64aa w brzmieniu: </w:t>
      </w:r>
    </w:p>
    <w:p w14:paraId="76DB80DD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„Art. 64aa. 1. Stroną postępowania o wydanie decyzji o warunkach zabudowy dotyczącej biogazowni rolniczej spełniającej warunki określone w art. 4 ust. 1 ustawy z dnia 13 lipca 2023 r. o ułatwieniach w przygotowaniu i realizacji inwestycji w zakresie biogazowni rolniczych, a także ich funkcjonowaniu jest wyłącznie wnioskodawca, podmioty, którym przysługują ograniczone prawa rzeczowe względem nieruchomości lub inne prawa trwale ograniczające własność nieruchomości, oraz właściciele i użytkownicy wieczyści nieruchomości znajdujących się w obszarze, na który inwestycja będzie oddziaływać. </w:t>
      </w:r>
    </w:p>
    <w:p w14:paraId="5DEB8EFA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2. Do decyzji, o której mowa w ust. 1, stosuje się przepisy działu II rozdziału 14 ustawy z dnia 14 czerwca 1960 r. – Kodeks postępowania administracyjnego, z wyjątkiem przepisów o milczącym załatwieniu sprawy. </w:t>
      </w:r>
    </w:p>
    <w:p w14:paraId="30D8EDDB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3. Do decyzji, o której mowa w ust. 1, nie stosuje się przepisów art. 10 i art. 79a ustawy z dnia 14 czerwca 1960 r. – Kodeks postępowania administracyjnego. </w:t>
      </w:r>
    </w:p>
    <w:p w14:paraId="0D29A6A8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4. Zawieszenie postępowania oraz podjęcie zawieszonego postępowania, w odniesieniu do decyzji, o której mowa w ust. 1, może nastąpić wyłącznie na wniosek inwestora. </w:t>
      </w:r>
    </w:p>
    <w:p w14:paraId="11EB2212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 xml:space="preserve">5. Przepisów ust. 1–4 nie stosuje się do biogazowni rolniczej spełniającej warunki określone w art. 4 ust. 1 ustawy z dnia 13 lipca 2023 r. o ułatwieniach w przygotowaniu i realizacji inwestycji w zakresie biogazowni rolniczych, a także ich funkcjonowaniu, której: </w:t>
      </w:r>
    </w:p>
    <w:p w14:paraId="0486D85F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>1) łączna moc zainstalowana elektryczna jest większa niż 1 MW – w przypadku gdy przedmiotem działalności w tej biogazowni jest wytwarzanie energii elektrycznej; nie dotyczy</w:t>
      </w:r>
    </w:p>
    <w:p w14:paraId="44276118" w14:textId="77777777" w:rsidR="00F23001" w:rsidRPr="00B1227F" w:rsidRDefault="00F23001" w:rsidP="0007187A">
      <w:pPr>
        <w:rPr>
          <w:rFonts w:ascii="Arial" w:hAnsi="Arial" w:cs="Arial"/>
          <w:color w:val="000000"/>
          <w:sz w:val="20"/>
          <w:szCs w:val="20"/>
        </w:rPr>
      </w:pPr>
      <w:r w:rsidRPr="00B1227F">
        <w:rPr>
          <w:rFonts w:ascii="Arial" w:hAnsi="Arial" w:cs="Arial"/>
          <w:color w:val="000000"/>
          <w:sz w:val="20"/>
          <w:szCs w:val="20"/>
        </w:rPr>
        <w:t>2) łączna moc osiągalna cieplna w skojarzeniu jest większa niż 3 MW – w przypadku gdy przedmiotem działalności w tej biogazowni jest wytwarzanie ciepła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1227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FFED94" w14:textId="77777777" w:rsidR="00F23001" w:rsidRPr="00B26E70" w:rsidRDefault="00F23001" w:rsidP="0007187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124238066"/>
      <w:r w:rsidRPr="00B26E70">
        <w:rPr>
          <w:rFonts w:ascii="Arial" w:hAnsi="Arial" w:cs="Arial"/>
          <w:sz w:val="20"/>
          <w:szCs w:val="20"/>
        </w:rPr>
        <w:t>Opracowała: Mariola Rosa</w:t>
      </w:r>
    </w:p>
    <w:p w14:paraId="564A18E3" w14:textId="77777777" w:rsidR="00F23001" w:rsidRPr="00B26E70" w:rsidRDefault="00F23001" w:rsidP="0007187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E70">
        <w:rPr>
          <w:rFonts w:ascii="Arial" w:hAnsi="Arial" w:cs="Arial"/>
          <w:sz w:val="20"/>
          <w:szCs w:val="20"/>
        </w:rPr>
        <w:t xml:space="preserve">architekt spełniający wymogi zapisane </w:t>
      </w:r>
    </w:p>
    <w:p w14:paraId="73A9994C" w14:textId="77777777" w:rsidR="00F23001" w:rsidRPr="00B26E70" w:rsidRDefault="00F23001" w:rsidP="0007187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E70">
        <w:rPr>
          <w:rFonts w:ascii="Arial" w:hAnsi="Arial" w:cs="Arial"/>
          <w:sz w:val="20"/>
          <w:szCs w:val="20"/>
        </w:rPr>
        <w:t xml:space="preserve">w art. 60 ust. 4 ustawy z dnia 27 marca 2003 r. </w:t>
      </w:r>
    </w:p>
    <w:p w14:paraId="4C6AFAD6" w14:textId="77777777" w:rsidR="00F23001" w:rsidRPr="00B26E70" w:rsidRDefault="00F23001" w:rsidP="0007187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E70">
        <w:rPr>
          <w:rFonts w:ascii="Arial" w:hAnsi="Arial" w:cs="Arial"/>
          <w:sz w:val="20"/>
          <w:szCs w:val="20"/>
        </w:rPr>
        <w:t xml:space="preserve">o planowaniu i zagospodarowaniu przestrzennym </w:t>
      </w:r>
    </w:p>
    <w:bookmarkEnd w:id="0"/>
    <w:sectPr w:rsidR="00F23001" w:rsidRPr="00B26E70" w:rsidSect="00F23001">
      <w:footerReference w:type="default" r:id="rId5"/>
      <w:footerReference w:type="first" r:id="rId6"/>
      <w:pgSz w:w="11906" w:h="16838"/>
      <w:pgMar w:top="1418" w:right="998" w:bottom="1247" w:left="1304" w:header="709" w:footer="79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5B1E5" w14:textId="77777777" w:rsidR="0007187A" w:rsidRDefault="0007187A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64032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FAFE0EB" w14:textId="77777777" w:rsidR="0007187A" w:rsidRPr="00850115" w:rsidRDefault="0007187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50115">
          <w:rPr>
            <w:rFonts w:ascii="Arial" w:hAnsi="Arial" w:cs="Arial"/>
            <w:sz w:val="18"/>
            <w:szCs w:val="18"/>
          </w:rPr>
          <w:fldChar w:fldCharType="begin"/>
        </w:r>
        <w:r w:rsidRPr="00850115">
          <w:rPr>
            <w:rFonts w:ascii="Arial" w:hAnsi="Arial" w:cs="Arial"/>
            <w:sz w:val="18"/>
            <w:szCs w:val="18"/>
          </w:rPr>
          <w:instrText>PAGE   \* MERGEFORMAT</w:instrText>
        </w:r>
        <w:r w:rsidRPr="00850115">
          <w:rPr>
            <w:rFonts w:ascii="Arial" w:hAnsi="Arial" w:cs="Arial"/>
            <w:sz w:val="18"/>
            <w:szCs w:val="18"/>
          </w:rPr>
          <w:fldChar w:fldCharType="separate"/>
        </w:r>
        <w:r w:rsidRPr="00850115">
          <w:rPr>
            <w:rFonts w:ascii="Arial" w:hAnsi="Arial" w:cs="Arial"/>
            <w:sz w:val="18"/>
            <w:szCs w:val="18"/>
          </w:rPr>
          <w:t>2</w:t>
        </w:r>
        <w:r w:rsidRPr="0085011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5477E1" w14:textId="77777777" w:rsidR="0007187A" w:rsidRDefault="0007187A" w:rsidP="00AD701E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A061FB5"/>
    <w:multiLevelType w:val="multilevel"/>
    <w:tmpl w:val="DF7A00E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FB6048"/>
    <w:multiLevelType w:val="multilevel"/>
    <w:tmpl w:val="7EB0A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44119932">
    <w:abstractNumId w:val="0"/>
  </w:num>
  <w:num w:numId="2" w16cid:durableId="734359358">
    <w:abstractNumId w:val="1"/>
  </w:num>
  <w:num w:numId="3" w16cid:durableId="1603147705">
    <w:abstractNumId w:val="3"/>
  </w:num>
  <w:num w:numId="4" w16cid:durableId="29244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1"/>
    <w:rsid w:val="0007187A"/>
    <w:rsid w:val="001B4FDB"/>
    <w:rsid w:val="001C2B6C"/>
    <w:rsid w:val="0050534C"/>
    <w:rsid w:val="007A3E87"/>
    <w:rsid w:val="009570D2"/>
    <w:rsid w:val="00985228"/>
    <w:rsid w:val="00F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9F01"/>
  <w15:chartTrackingRefBased/>
  <w15:docId w15:val="{34487E79-8BDA-40EB-B4FA-96EBE91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F23001"/>
    <w:rPr>
      <w:rFonts w:ascii="Times New Roman" w:hAnsi="Times New Roman" w:cs="Times New Roman"/>
      <w:sz w:val="22"/>
      <w:u w:val="none"/>
    </w:rPr>
  </w:style>
  <w:style w:type="paragraph" w:styleId="Tekstpodstawowy">
    <w:name w:val="Body Text"/>
    <w:basedOn w:val="Normalny"/>
    <w:link w:val="TekstpodstawowyZnak"/>
    <w:rsid w:val="00F230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23001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F2300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00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F23001"/>
    <w:rPr>
      <w:rFonts w:ascii="Arial" w:hAnsi="Arial" w:cs="Arial"/>
      <w:sz w:val="22"/>
    </w:rPr>
  </w:style>
  <w:style w:type="paragraph" w:customStyle="1" w:styleId="FR1">
    <w:name w:val="FR1"/>
    <w:rsid w:val="00F23001"/>
    <w:pPr>
      <w:widowControl w:val="0"/>
      <w:suppressAutoHyphens/>
      <w:autoSpaceDE w:val="0"/>
      <w:spacing w:after="0" w:line="252" w:lineRule="auto"/>
      <w:ind w:right="600"/>
    </w:pPr>
    <w:rPr>
      <w:rFonts w:ascii="Arial" w:eastAsia="Times New Roman" w:hAnsi="Arial" w:cs="Arial"/>
      <w:b/>
      <w:bCs/>
      <w:kern w:val="0"/>
      <w:sz w:val="28"/>
      <w:szCs w:val="28"/>
      <w:lang w:eastAsia="zh-CN"/>
      <w14:ligatures w14:val="none"/>
    </w:rPr>
  </w:style>
  <w:style w:type="paragraph" w:customStyle="1" w:styleId="Standard">
    <w:name w:val="Standard"/>
    <w:rsid w:val="00F2300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F230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187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71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8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Iwona Mieczkowska</cp:lastModifiedBy>
  <cp:revision>2</cp:revision>
  <dcterms:created xsi:type="dcterms:W3CDTF">2024-06-27T12:57:00Z</dcterms:created>
  <dcterms:modified xsi:type="dcterms:W3CDTF">2024-06-27T13:00:00Z</dcterms:modified>
</cp:coreProperties>
</file>